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E9ED2">
      <w:pPr>
        <w:spacing w:before="240" w:after="24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附件5：</w:t>
      </w:r>
    </w:p>
    <w:p w14:paraId="42631203">
      <w:pPr>
        <w:spacing w:line="480" w:lineRule="exact"/>
        <w:jc w:val="center"/>
        <w:outlineLvl w:val="0"/>
        <w:rPr>
          <w:rFonts w:hint="eastAsia" w:ascii="Times New Roman" w:hAnsi="Times New Roman" w:eastAsia="黑体" w:cs="Times New Roman"/>
          <w:sz w:val="32"/>
          <w:szCs w:val="32"/>
          <w:lang w:val="en-US" w:eastAsia="zh-CN"/>
        </w:rPr>
      </w:pPr>
      <w:bookmarkStart w:id="0" w:name="_Toc238562186"/>
      <w:r>
        <w:rPr>
          <w:rFonts w:hint="eastAsia" w:ascii="Times New Roman" w:hAnsi="Times New Roman" w:eastAsia="黑体" w:cs="Times New Roman"/>
          <w:sz w:val="36"/>
          <w:szCs w:val="36"/>
        </w:rPr>
        <w:t>关于变更中国腐蚀控制技术协会法定代表人的</w:t>
      </w:r>
      <w:bookmarkEnd w:id="0"/>
      <w:r>
        <w:rPr>
          <w:rFonts w:hint="eastAsia" w:ascii="Times New Roman" w:hAnsi="Times New Roman" w:eastAsia="黑体" w:cs="Times New Roman"/>
          <w:sz w:val="36"/>
          <w:szCs w:val="36"/>
          <w:lang w:val="en-US" w:eastAsia="zh-CN"/>
        </w:rPr>
        <w:t>决议</w:t>
      </w:r>
    </w:p>
    <w:p w14:paraId="6DB6CCF6">
      <w:pPr>
        <w:snapToGrid w:val="0"/>
        <w:spacing w:before="312" w:beforeLines="100" w:line="288" w:lineRule="auto"/>
        <w:rPr>
          <w:rFonts w:ascii="Times New Roman" w:hAnsi="Times New Roman" w:eastAsia="仿宋" w:cs="Times New Roman"/>
          <w:b/>
          <w:bCs/>
          <w:sz w:val="28"/>
          <w:szCs w:val="28"/>
        </w:rPr>
      </w:pPr>
      <w:r>
        <w:rPr>
          <w:rFonts w:hint="eastAsia" w:ascii="Times New Roman" w:hAnsi="Times New Roman" w:eastAsia="宋体" w:cs="Times New Roman"/>
          <w:sz w:val="24"/>
          <w:szCs w:val="24"/>
        </w:rPr>
        <w:t>各位理事、各会员代表：</w:t>
      </w:r>
    </w:p>
    <w:p w14:paraId="18E1EB5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为表彰协会规范运行、持续健康发展，根据《社会团体登记管理条例》及本协会章程规定，现就协会法定代表人变更事宜，提出以下提案：</w:t>
      </w:r>
    </w:p>
    <w:p w14:paraId="2E0E005C">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一、变更事宜</w:t>
      </w:r>
    </w:p>
    <w:p w14:paraId="6A30932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原法定代表人李济克同志任期届满、在新一届理事会不再担任负责人职务，不再适宜担任法定代表人。为不影响协会日常运营与对外事务办理，依照民主程序，拟对法定代表人进行变更。</w:t>
      </w:r>
    </w:p>
    <w:p w14:paraId="648A0ED1">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二、拟任人选基本情况</w:t>
      </w:r>
    </w:p>
    <w:p w14:paraId="1F6744F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姓名：张炎明</w:t>
      </w:r>
    </w:p>
    <w:p w14:paraId="57CE685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性别：男</w:t>
      </w:r>
    </w:p>
    <w:p w14:paraId="2484AD1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民族：汉族</w:t>
      </w:r>
    </w:p>
    <w:p w14:paraId="10F01D2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出生年月：1963年8月</w:t>
      </w:r>
    </w:p>
    <w:p w14:paraId="669B089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政治面貌：中共党员</w:t>
      </w:r>
    </w:p>
    <w:p w14:paraId="64A5046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学历：大学本科</w:t>
      </w:r>
    </w:p>
    <w:p w14:paraId="29A7FB0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拟任职务：协会法定代表人（兼任会长）</w:t>
      </w:r>
    </w:p>
    <w:p w14:paraId="2C561A2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该同志政治素质好，责任性强，熟悉行业和社团管理，具备履行法定代表人职责的能力和条件，符合任职资格。</w:t>
      </w:r>
    </w:p>
    <w:p w14:paraId="7E3719FE">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三、变更事宜</w:t>
      </w:r>
    </w:p>
    <w:p w14:paraId="22ED29D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1、免去李济克同志中国腐蚀控制技术协会法定代表人职务；</w:t>
      </w:r>
    </w:p>
    <w:p w14:paraId="7F6A439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2、推举张炎明同志为中国腐蚀控制技术协会法定代表人，任期与本届理事会一致。</w:t>
      </w:r>
    </w:p>
    <w:p w14:paraId="2AAEE932">
      <w:pPr>
        <w:snapToGrid w:val="0"/>
        <w:spacing w:before="120" w:line="288" w:lineRule="auto"/>
        <w:rPr>
          <w:rFonts w:ascii="Times New Roman" w:hAnsi="Times New Roman" w:eastAsia="宋体" w:cs="Times New Roman"/>
          <w:sz w:val="24"/>
          <w:szCs w:val="24"/>
        </w:rPr>
      </w:pPr>
      <w:r>
        <w:rPr>
          <w:rFonts w:ascii="Times New Roman" w:hAnsi="Times New Roman" w:eastAsia="黑体" w:cs="Times New Roman"/>
          <w:sz w:val="24"/>
          <w:szCs w:val="24"/>
        </w:rPr>
        <w:t>四、后续工作安排</w:t>
      </w:r>
    </w:p>
    <w:p w14:paraId="1334DCA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1、本次会议表决通过后，按规定开展原法定代表人离任审计；</w:t>
      </w:r>
    </w:p>
    <w:p w14:paraId="6E0118E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2、由协会秘书处依法办理变更登记、备案等相关手续；</w:t>
      </w:r>
    </w:p>
    <w:p w14:paraId="3B253EE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3、变更完成后，及时向会员公告，并完成印章、账户、证书等交接。</w:t>
      </w:r>
    </w:p>
    <w:p w14:paraId="1EEA9D1A">
      <w:pPr>
        <w:snapToGrid w:val="0"/>
        <w:spacing w:line="288" w:lineRule="auto"/>
        <w:ind w:firstLine="480" w:firstLineChars="200"/>
        <w:rPr>
          <w:rFonts w:ascii="Times New Roman" w:hAnsi="Times New Roman" w:eastAsia="宋体"/>
          <w:sz w:val="24"/>
          <w:szCs w:val="24"/>
        </w:rPr>
        <w:sectPr>
          <w:pgSz w:w="11906" w:h="16838"/>
          <w:pgMar w:top="1418" w:right="1418" w:bottom="1418" w:left="1701" w:header="851" w:footer="737" w:gutter="0"/>
          <w:cols w:space="720" w:num="1"/>
          <w:docGrid w:type="linesAndChars" w:linePitch="312" w:charSpace="0"/>
        </w:sectPr>
      </w:pPr>
      <w:r>
        <w:rPr>
          <w:rFonts w:hint="eastAsia" w:ascii="Times New Roman" w:hAnsi="Times New Roman" w:eastAsia="宋体" w:cs="Times New Roman"/>
          <w:sz w:val="24"/>
          <w:szCs w:val="24"/>
        </w:rPr>
        <w:t>请审议。</w:t>
      </w:r>
    </w:p>
    <w:p w14:paraId="4E814942">
      <w:pPr>
        <w:spacing w:line="480" w:lineRule="exact"/>
        <w:jc w:val="center"/>
        <w:outlineLvl w:val="0"/>
        <w:rPr>
          <w:rFonts w:hint="eastAsia" w:ascii="Times New Roman" w:hAnsi="Times New Roman" w:eastAsia="黑体" w:cs="Courier New"/>
          <w:b/>
          <w:bCs/>
          <w:sz w:val="30"/>
          <w:szCs w:val="30"/>
          <w:lang w:val="en-US" w:eastAsia="zh-CN"/>
        </w:rPr>
      </w:pPr>
      <w:bookmarkStart w:id="1" w:name="_Toc238562187"/>
      <w:r>
        <w:rPr>
          <w:rFonts w:hint="eastAsia" w:ascii="Times New Roman" w:hAnsi="Times New Roman" w:eastAsia="黑体" w:cs="Times New Roman"/>
          <w:sz w:val="36"/>
          <w:szCs w:val="36"/>
        </w:rPr>
        <w:t>关于协会秘书处机构相关人员任职的</w:t>
      </w:r>
      <w:bookmarkEnd w:id="1"/>
      <w:r>
        <w:rPr>
          <w:rFonts w:hint="eastAsia" w:ascii="Times New Roman" w:hAnsi="Times New Roman" w:eastAsia="黑体" w:cs="Times New Roman"/>
          <w:sz w:val="36"/>
          <w:szCs w:val="36"/>
          <w:lang w:val="en-US" w:eastAsia="zh-CN"/>
        </w:rPr>
        <w:t>决议</w:t>
      </w:r>
    </w:p>
    <w:p w14:paraId="50E44703">
      <w:pPr>
        <w:spacing w:line="480" w:lineRule="exact"/>
        <w:jc w:val="center"/>
        <w:rPr>
          <w:rFonts w:ascii="Times New Roman" w:hAnsi="Times New Roman" w:eastAsia="宋体" w:cs="Times New Roman"/>
          <w:b/>
          <w:sz w:val="24"/>
          <w:szCs w:val="24"/>
        </w:rPr>
      </w:pPr>
      <w:r>
        <w:rPr>
          <w:rFonts w:hint="eastAsia" w:ascii="Times New Roman" w:hAnsi="Times New Roman" w:eastAsia="楷体" w:cs="Times New Roman"/>
          <w:sz w:val="28"/>
          <w:szCs w:val="28"/>
        </w:rPr>
        <w:t>（2026年9月10日）</w:t>
      </w:r>
    </w:p>
    <w:p w14:paraId="6085165B">
      <w:pPr>
        <w:snapToGrid w:val="0"/>
        <w:spacing w:before="312" w:beforeLines="100"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协会承担国际标准化组织腐蚀控制全生命周期标准化分技术委员会（ISO/TC156/SC1）秘书处、全国腐蚀控制标准化技术委员会（SAC/TC381）秘书处、协会社会团体标准化技术委员会秘书处工作，秘书处设置有办公室</w:t>
      </w:r>
      <w:r>
        <w:rPr>
          <w:rFonts w:ascii="Times New Roman" w:hAnsi="Times New Roman" w:eastAsia="宋体" w:cs="Times New Roman"/>
          <w:sz w:val="24"/>
          <w:szCs w:val="24"/>
        </w:rPr>
        <w:t>（人事、党务、工会、会员管理等）</w:t>
      </w:r>
      <w:r>
        <w:rPr>
          <w:rFonts w:hint="eastAsia" w:ascii="Times New Roman" w:hAnsi="Times New Roman" w:eastAsia="宋体" w:cs="Times New Roman"/>
          <w:sz w:val="24"/>
          <w:szCs w:val="24"/>
        </w:rPr>
        <w:t>，财务部，国内标准部（对口负责TC381秘书处、社会团体标委会秘书处工作），国际标准部（协调对口ISO/TC156/SC1秘书处、负责国内对口单位），传媒管理部（归口管理期刊、网站、公众号），综合部（归口管理会议展览、技术交流、技术鉴定、咨询服务、人员培训）</w:t>
      </w:r>
      <w:r>
        <w:rPr>
          <w:rFonts w:ascii="Times New Roman" w:hAnsi="Times New Roman" w:eastAsia="宋体" w:cs="Times New Roman"/>
          <w:sz w:val="24"/>
          <w:szCs w:val="24"/>
        </w:rPr>
        <w:t>、信息技术部</w:t>
      </w:r>
      <w:r>
        <w:rPr>
          <w:rFonts w:hint="eastAsia" w:ascii="Times New Roman" w:hAnsi="Times New Roman" w:eastAsia="宋体" w:cs="Times New Roman"/>
          <w:sz w:val="24"/>
          <w:szCs w:val="24"/>
        </w:rPr>
        <w:t>和发言人。按照规定要对新一届协会办事机构及负责人履行聘任程序。</w:t>
      </w:r>
    </w:p>
    <w:p w14:paraId="6CB779D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由国家相关机构任命或备案的机构负责人职务由现负责人继续担任；</w:t>
      </w:r>
    </w:p>
    <w:p w14:paraId="55CA5D0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建议协会总工程师、副总工程师分别由王贵明、邢峻同志担任；</w:t>
      </w:r>
    </w:p>
    <w:p w14:paraId="4F600EFD">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建议聘用高扬、李侠为协会专职副秘书长，郝毅为会长助理，焦杨为办公室主任，李侠兼任发言人及国内标准部主任，刘轩任国际标准部主任，王婉煜为综合部主任，邵骞为传媒管理部副主任，任朋为信息技术部副主任，王新媛为财务部副主任。</w:t>
      </w:r>
    </w:p>
    <w:p w14:paraId="0AB14A6F">
      <w:pPr>
        <w:spacing w:line="480" w:lineRule="exact"/>
        <w:jc w:val="center"/>
        <w:outlineLvl w:val="0"/>
        <w:rPr>
          <w:rFonts w:ascii="Times New Roman" w:hAnsi="Times New Roman" w:eastAsia="黑体"/>
          <w:sz w:val="36"/>
          <w:szCs w:val="36"/>
        </w:rPr>
        <w:sectPr>
          <w:pgSz w:w="11906" w:h="16838"/>
          <w:pgMar w:top="1418" w:right="1418" w:bottom="1418" w:left="1701" w:header="851" w:footer="737" w:gutter="0"/>
          <w:cols w:space="720" w:num="1"/>
          <w:docGrid w:type="linesAndChars" w:linePitch="312" w:charSpace="0"/>
        </w:sectPr>
      </w:pPr>
    </w:p>
    <w:p w14:paraId="2999B3FB">
      <w:pPr>
        <w:spacing w:line="480" w:lineRule="exact"/>
        <w:jc w:val="center"/>
        <w:outlineLvl w:val="0"/>
        <w:rPr>
          <w:rFonts w:hint="eastAsia" w:ascii="Times New Roman" w:hAnsi="Times New Roman" w:eastAsia="黑体" w:cs="Courier New"/>
          <w:b/>
          <w:bCs/>
          <w:sz w:val="32"/>
          <w:szCs w:val="32"/>
          <w:lang w:eastAsia="zh-CN"/>
        </w:rPr>
      </w:pPr>
      <w:bookmarkStart w:id="2" w:name="_Toc238562188"/>
      <w:r>
        <w:rPr>
          <w:rFonts w:hint="eastAsia" w:ascii="Times New Roman" w:hAnsi="Times New Roman" w:eastAsia="黑体" w:cs="Times New Roman"/>
          <w:sz w:val="36"/>
          <w:szCs w:val="36"/>
        </w:rPr>
        <w:t>关于撤销协会专家委员会等分支机构的</w:t>
      </w:r>
      <w:bookmarkEnd w:id="2"/>
      <w:r>
        <w:rPr>
          <w:rFonts w:hint="eastAsia" w:ascii="Times New Roman" w:hAnsi="Times New Roman" w:eastAsia="黑体" w:cs="Times New Roman"/>
          <w:sz w:val="36"/>
          <w:szCs w:val="36"/>
          <w:lang w:val="en-US" w:eastAsia="zh-CN"/>
        </w:rPr>
        <w:t>决议</w:t>
      </w:r>
    </w:p>
    <w:p w14:paraId="089A6D3E">
      <w:pPr>
        <w:snapToGrid w:val="0"/>
        <w:spacing w:before="312" w:beforeLines="100"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专家委员会已按计划完成既定设立目标，不再具备存续必要性；设立的中国腐蚀控制技术协会钢塑复合耐蚀专业技术委员会、中国腐蚀控制技术协会腐蚀控制工程专业委员会等分支机构均已连续2年未开展活动。</w:t>
      </w:r>
    </w:p>
    <w:p w14:paraId="275D9AD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依据《社会团体分支机构、代表机构管理办法》（民政部令第 85 号）第九条规定，为规范协会分支机构管理、优化组织架构、提升运行效能，现建议按程序撤销协会设立的各分支机构。</w:t>
      </w:r>
    </w:p>
    <w:p w14:paraId="4D094613">
      <w:pPr>
        <w:snapToGrid w:val="0"/>
        <w:spacing w:before="624" w:beforeLines="200" w:line="288" w:lineRule="auto"/>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中国腐蚀控制技术协会秘书处</w:t>
      </w:r>
    </w:p>
    <w:p w14:paraId="77D2344B">
      <w:pPr>
        <w:snapToGrid w:val="0"/>
        <w:spacing w:line="288" w:lineRule="auto"/>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2026年9月10日</w:t>
      </w:r>
    </w:p>
    <w:p w14:paraId="562D28F1">
      <w:pPr>
        <w:snapToGrid w:val="0"/>
        <w:spacing w:line="288" w:lineRule="auto"/>
        <w:ind w:firstLine="480" w:firstLineChars="200"/>
        <w:rPr>
          <w:rFonts w:ascii="Times New Roman" w:hAnsi="Times New Roman" w:eastAsia="宋体"/>
          <w:sz w:val="24"/>
          <w:szCs w:val="24"/>
        </w:rPr>
        <w:sectPr>
          <w:pgSz w:w="11906" w:h="16838"/>
          <w:pgMar w:top="1418" w:right="1418" w:bottom="1418" w:left="1701" w:header="851" w:footer="737" w:gutter="0"/>
          <w:cols w:space="720" w:num="1"/>
          <w:docGrid w:type="linesAndChars" w:linePitch="312" w:charSpace="0"/>
        </w:sectPr>
      </w:pPr>
    </w:p>
    <w:p w14:paraId="1D887D98">
      <w:pPr>
        <w:spacing w:line="480" w:lineRule="exact"/>
        <w:jc w:val="center"/>
        <w:outlineLvl w:val="0"/>
        <w:rPr>
          <w:rFonts w:hint="eastAsia" w:ascii="Times New Roman" w:hAnsi="Times New Roman" w:eastAsia="黑体" w:cs="宋体"/>
          <w:sz w:val="28"/>
          <w:szCs w:val="28"/>
          <w:lang w:eastAsia="zh-CN"/>
        </w:rPr>
      </w:pPr>
      <w:bookmarkStart w:id="3" w:name="_Toc238562189"/>
      <w:r>
        <w:rPr>
          <w:rFonts w:hint="eastAsia" w:ascii="Times New Roman" w:hAnsi="Times New Roman" w:eastAsia="黑体" w:cs="Times New Roman"/>
          <w:sz w:val="36"/>
          <w:szCs w:val="36"/>
        </w:rPr>
        <w:t>关于协会资产处置的</w:t>
      </w:r>
      <w:bookmarkEnd w:id="3"/>
      <w:r>
        <w:rPr>
          <w:rFonts w:hint="eastAsia" w:ascii="Times New Roman" w:hAnsi="Times New Roman" w:eastAsia="黑体" w:cs="Times New Roman"/>
          <w:sz w:val="36"/>
          <w:szCs w:val="36"/>
          <w:lang w:val="en-US" w:eastAsia="zh-CN"/>
        </w:rPr>
        <w:t>决议</w:t>
      </w:r>
    </w:p>
    <w:p w14:paraId="1846F41B">
      <w:pPr>
        <w:snapToGrid w:val="0"/>
        <w:spacing w:before="312" w:beforeLines="100" w:line="288" w:lineRule="auto"/>
        <w:ind w:firstLine="480" w:firstLineChars="200"/>
        <w:rPr>
          <w:rFonts w:ascii="Times New Roman" w:hAnsi="Times New Roman" w:eastAsia="宋体" w:cs="宋体"/>
          <w:sz w:val="28"/>
          <w:szCs w:val="28"/>
        </w:rPr>
      </w:pPr>
      <w:r>
        <w:rPr>
          <w:rFonts w:hint="eastAsia" w:ascii="Times New Roman" w:hAnsi="Times New Roman" w:eastAsia="宋体" w:cs="Times New Roman"/>
          <w:sz w:val="24"/>
          <w:szCs w:val="24"/>
        </w:rPr>
        <w:t>中国腐蚀控制技术协会前期购买的车辆，因使用年限过长，且已提完折旧，根据国家环保要求规定，现申请将旧车出售。</w:t>
      </w:r>
    </w:p>
    <w:p w14:paraId="750F790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车辆情况如下：</w:t>
      </w:r>
    </w:p>
    <w:p w14:paraId="6DA253A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1.2010年7月购买的丰田RAV4（京NZ9P66)</w:t>
      </w:r>
    </w:p>
    <w:p w14:paraId="07715A7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2.2010年7月购买的丰田RAV4（京N31R05)</w:t>
      </w:r>
    </w:p>
    <w:p w14:paraId="22A90EE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3.2011年9月购买的奔驰梅赛德斯（京N339X1)</w:t>
      </w:r>
    </w:p>
    <w:p w14:paraId="4AAD952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4.2010年7月购买的丰田汉兰达（京NOP338)</w:t>
      </w:r>
    </w:p>
    <w:p w14:paraId="0040B05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以上资产处置收益纳入协会财务管理，接受理事会及会员代表大会监督。</w:t>
      </w:r>
    </w:p>
    <w:p w14:paraId="4CBA075F">
      <w:pPr>
        <w:snapToGrid w:val="0"/>
        <w:spacing w:line="288" w:lineRule="auto"/>
        <w:ind w:firstLine="480" w:firstLineChars="200"/>
        <w:rPr>
          <w:rFonts w:ascii="Times New Roman" w:hAnsi="Times New Roman" w:eastAsia="宋体" w:cs="宋体"/>
          <w:sz w:val="28"/>
          <w:szCs w:val="28"/>
        </w:rPr>
      </w:pPr>
      <w:r>
        <w:rPr>
          <w:rFonts w:hint="eastAsia" w:ascii="Times New Roman" w:hAnsi="Times New Roman" w:eastAsia="宋体" w:cs="Times New Roman"/>
          <w:sz w:val="24"/>
          <w:szCs w:val="24"/>
        </w:rPr>
        <w:t>以上议案，请予审议。</w:t>
      </w:r>
    </w:p>
    <w:p w14:paraId="17B99478">
      <w:pPr>
        <w:snapToGrid w:val="0"/>
        <w:spacing w:before="624" w:beforeLines="200" w:line="288" w:lineRule="auto"/>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中国腐蚀控制技术协会秘书处</w:t>
      </w:r>
    </w:p>
    <w:p w14:paraId="45816FFF">
      <w:pPr>
        <w:snapToGrid w:val="0"/>
        <w:spacing w:line="288" w:lineRule="auto"/>
        <w:ind w:firstLine="480" w:firstLineChars="200"/>
        <w:jc w:val="right"/>
        <w:rPr>
          <w:rFonts w:ascii="Times New Roman" w:hAnsi="Times New Roman" w:eastAsia="宋体"/>
          <w:sz w:val="24"/>
          <w:szCs w:val="24"/>
        </w:rPr>
        <w:sectPr>
          <w:pgSz w:w="11906" w:h="16838"/>
          <w:pgMar w:top="1418" w:right="1418" w:bottom="1418" w:left="1701" w:header="851" w:footer="737" w:gutter="0"/>
          <w:cols w:space="720" w:num="1"/>
          <w:docGrid w:type="linesAndChars" w:linePitch="312" w:charSpace="0"/>
        </w:sectPr>
      </w:pPr>
      <w:r>
        <w:rPr>
          <w:rFonts w:hint="eastAsia" w:ascii="Times New Roman" w:hAnsi="Times New Roman" w:eastAsia="宋体" w:cs="Times New Roman"/>
          <w:sz w:val="24"/>
          <w:szCs w:val="24"/>
        </w:rPr>
        <w:t>2026年9月10日</w:t>
      </w:r>
    </w:p>
    <w:p w14:paraId="11B27084">
      <w:pPr>
        <w:spacing w:line="480" w:lineRule="exact"/>
        <w:jc w:val="center"/>
        <w:outlineLvl w:val="0"/>
        <w:rPr>
          <w:rFonts w:hint="eastAsia" w:ascii="Times New Roman" w:hAnsi="Times New Roman" w:eastAsia="黑体" w:cs="Times New Roman"/>
          <w:sz w:val="36"/>
          <w:szCs w:val="36"/>
          <w:lang w:eastAsia="zh-CN"/>
        </w:rPr>
      </w:pPr>
      <w:bookmarkStart w:id="4" w:name="_Toc238562190"/>
      <w:r>
        <w:rPr>
          <w:rFonts w:hint="eastAsia" w:ascii="Times New Roman" w:hAnsi="Times New Roman" w:eastAsia="黑体" w:cs="Times New Roman"/>
          <w:sz w:val="36"/>
          <w:szCs w:val="36"/>
        </w:rPr>
        <w:t>关于制修订《中国腐蚀控制技术协会党支部参与重大事项决策工作办法》等协会管理制度、办法的</w:t>
      </w:r>
      <w:bookmarkEnd w:id="4"/>
      <w:r>
        <w:rPr>
          <w:rFonts w:hint="eastAsia" w:ascii="Times New Roman" w:hAnsi="Times New Roman" w:eastAsia="黑体" w:cs="Times New Roman"/>
          <w:sz w:val="36"/>
          <w:szCs w:val="36"/>
          <w:lang w:val="en-US" w:eastAsia="zh-CN"/>
        </w:rPr>
        <w:t>决议</w:t>
      </w:r>
    </w:p>
    <w:p w14:paraId="05933A7E">
      <w:pPr>
        <w:snapToGrid w:val="0"/>
        <w:spacing w:before="312" w:beforeLines="100" w:line="288" w:lineRule="auto"/>
        <w:ind w:firstLine="480" w:firstLineChars="200"/>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rPr>
        <w:t>为贯彻落实党中央、国务院关于推动行业协会商会深化改革的意见，坚持和加强党的全面领导，完善协会管理制度与运行机制，现制修订了《中国腐蚀控制技术协会党支部参与重大事项决策工作办法》等15项协会管理制度、办法</w:t>
      </w:r>
      <w:r>
        <w:rPr>
          <w:rFonts w:hint="eastAsia" w:ascii="Times New Roman" w:hAnsi="Times New Roman" w:eastAsia="宋体" w:cs="Times New Roman"/>
          <w:sz w:val="24"/>
          <w:szCs w:val="24"/>
          <w:lang w:eastAsia="zh-CN"/>
        </w:rPr>
        <w:t>：</w:t>
      </w:r>
      <w:bookmarkStart w:id="5" w:name="_GoBack"/>
      <w:bookmarkEnd w:id="5"/>
    </w:p>
    <w:p w14:paraId="7C37B2A3">
      <w:pPr>
        <w:snapToGrid w:val="0"/>
        <w:spacing w:before="120" w:line="288" w:lineRule="auto"/>
        <w:rPr>
          <w:rFonts w:ascii="Times New Roman" w:hAnsi="Times New Roman" w:eastAsia="黑体" w:cs="Times New Roman"/>
          <w:sz w:val="24"/>
          <w:szCs w:val="24"/>
        </w:rPr>
      </w:pPr>
      <w:r>
        <w:rPr>
          <w:rFonts w:hint="eastAsia" w:ascii="Times New Roman" w:hAnsi="Times New Roman" w:eastAsia="黑体" w:cs="Times New Roman"/>
          <w:sz w:val="24"/>
          <w:szCs w:val="24"/>
        </w:rPr>
        <w:t>一、制定：</w:t>
      </w:r>
    </w:p>
    <w:p w14:paraId="7FCD0043">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中国腐蚀控制技术协会党支部参与重大事项决策工作办法</w:t>
      </w:r>
    </w:p>
    <w:p w14:paraId="768FFDA7">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中国腐蚀控制技术协会薪酬管理办法</w:t>
      </w:r>
    </w:p>
    <w:p w14:paraId="0D02DE7E">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中国腐蚀控制技术协会项目经费管理办法</w:t>
      </w:r>
    </w:p>
    <w:p w14:paraId="421E2DC3">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中国腐蚀控制技术协会人员临时出国（境）管理办法</w:t>
      </w:r>
    </w:p>
    <w:p w14:paraId="1ACE6F34">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中国腐蚀控制技术协会会议及招待管理办法</w:t>
      </w:r>
    </w:p>
    <w:p w14:paraId="7C8CDDCD">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中国腐蚀控制技术协会到基层调研考察工作办法</w:t>
      </w:r>
    </w:p>
    <w:p w14:paraId="4325FF5A">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中国腐蚀控制技术协会关联方经济往来管理办法</w:t>
      </w:r>
    </w:p>
    <w:p w14:paraId="23C1FF88">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中国腐蚀控制技术协会保密工作规定</w:t>
      </w:r>
    </w:p>
    <w:p w14:paraId="6474C418">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中国腐蚀控制技术协会协会邀请离退休干部参与相关活动管理办法</w:t>
      </w:r>
    </w:p>
    <w:p w14:paraId="6E93B5B1">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中国腐蚀控制技术协会采购及招标比选管理办法</w:t>
      </w:r>
    </w:p>
    <w:p w14:paraId="33AE3380">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二、修订：</w:t>
      </w:r>
    </w:p>
    <w:p w14:paraId="3CFA7411">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w:t>
      </w:r>
      <w:r>
        <w:rPr>
          <w:rFonts w:ascii="Times New Roman" w:hAnsi="Times New Roman" w:eastAsia="宋体" w:cs="Times New Roman"/>
          <w:sz w:val="24"/>
          <w:szCs w:val="24"/>
        </w:rPr>
        <w:t>关于贯彻落实中央八项规定实施细则精神的实施办法</w:t>
      </w:r>
    </w:p>
    <w:p w14:paraId="6F437D59">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w:t>
      </w:r>
      <w:r>
        <w:rPr>
          <w:rFonts w:ascii="Times New Roman" w:hAnsi="Times New Roman" w:eastAsia="宋体" w:cs="Times New Roman"/>
          <w:sz w:val="24"/>
          <w:szCs w:val="24"/>
        </w:rPr>
        <w:t>媒体（期刊、网站、公众号）意识形态管理办法</w:t>
      </w:r>
    </w:p>
    <w:p w14:paraId="0B2CC2FC">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w:t>
      </w:r>
      <w:r>
        <w:rPr>
          <w:rFonts w:ascii="Times New Roman" w:hAnsi="Times New Roman" w:eastAsia="宋体" w:cs="Times New Roman"/>
          <w:sz w:val="24"/>
          <w:szCs w:val="24"/>
        </w:rPr>
        <w:t>媒体（期刊、网站、公众号）三审三校人员及职责</w:t>
      </w:r>
    </w:p>
    <w:p w14:paraId="4F40F691">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中国腐蚀控制技术协会出差管理办法</w:t>
      </w:r>
    </w:p>
    <w:p w14:paraId="0A3FFB49">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中国腐蚀控制技术协会费用报销制度</w:t>
      </w:r>
    </w:p>
    <w:p w14:paraId="5AFF6576">
      <w:pPr>
        <w:snapToGrid w:val="0"/>
        <w:spacing w:before="624" w:beforeLines="200" w:line="288" w:lineRule="auto"/>
        <w:jc w:val="right"/>
      </w:pPr>
      <w:r>
        <w:rPr>
          <w:rFonts w:hint="eastAsia" w:ascii="Times New Roman" w:hAnsi="Times New Roman" w:eastAsia="宋体" w:cs="Times New Roman"/>
          <w:sz w:val="24"/>
          <w:szCs w:val="24"/>
        </w:rPr>
        <w:t>2026年9月10日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95B504"/>
    <w:multiLevelType w:val="singleLevel"/>
    <w:tmpl w:val="BB95B504"/>
    <w:lvl w:ilvl="0" w:tentative="0">
      <w:start w:val="1"/>
      <w:numFmt w:val="decimal"/>
      <w:lvlText w:val="%1."/>
      <w:lvlJc w:val="left"/>
      <w:pPr>
        <w:ind w:left="425" w:hanging="425"/>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290692"/>
    <w:rsid w:val="060A3A61"/>
    <w:rsid w:val="17AA0BDD"/>
    <w:rsid w:val="25290692"/>
    <w:rsid w:val="33B65F28"/>
    <w:rsid w:val="3EBB06EA"/>
    <w:rsid w:val="3ECD3192"/>
    <w:rsid w:val="3F6727CC"/>
    <w:rsid w:val="46F368E9"/>
    <w:rsid w:val="5BEC78DC"/>
    <w:rsid w:val="744A79EB"/>
    <w:rsid w:val="7DA749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1835</Words>
  <Characters>1942</Characters>
  <Lines>0</Lines>
  <Paragraphs>0</Paragraphs>
  <TotalTime>122</TotalTime>
  <ScaleCrop>false</ScaleCrop>
  <LinksUpToDate>false</LinksUpToDate>
  <CharactersWithSpaces>1972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2026-09-14T00:58:00Z</dcterms:created>
  <dc:creator>颖川</dc:creator>
  <cp:lastModifiedBy>颖川</cp:lastModifiedBy>
  <dcterms:modified xsi:type="dcterms:W3CDTF">2026-09-16T06:00:19Z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6E09C568E9CB4F8883508461CF19399C_11</vt:lpwstr>
  </property>
  <property fmtid="{D5CDD505-2E9C-101B-9397-08002B2CF9AE}" pid="4" name="KSOTemplateDocerSaveRecord">
    <vt:lpwstr>eyJoZGlkIjoiYTNkZmQwNTMxYWYyMGU1NDhkZDRmNWU0ZDk4NGU0OGUiLCJ1c2VySWQiOiI3MTM4MTE2MDcifQ==</vt:lpwstr>
  </property>
</Properties>
</file>