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02C1C84">
      <w:pPr>
        <w:spacing w:line="360" w:lineRule="auto"/>
      </w:pPr>
      <w:r>
        <w:rPr>
          <w:rFonts w:hint="eastAsia"/>
        </w:rPr>
        <w:t>附件2：</w:t>
      </w:r>
    </w:p>
    <w:p w14:paraId="0AE8AB9C">
      <w:pPr>
        <w:spacing w:line="360" w:lineRule="auto"/>
        <w:jc w:val="center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资料目录</w:t>
      </w:r>
    </w:p>
    <w:p w14:paraId="1B8B1B03">
      <w:pPr>
        <w:spacing w:line="360" w:lineRule="auto"/>
        <w:jc w:val="center"/>
        <w:rPr>
          <w:rFonts w:ascii="仿宋_GB2312" w:eastAsia="仿宋_GB2312"/>
          <w:sz w:val="32"/>
          <w:szCs w:val="32"/>
        </w:rPr>
      </w:pPr>
    </w:p>
    <w:p w14:paraId="270B3C71">
      <w:pPr>
        <w:pStyle w:val="2"/>
        <w:numPr>
          <w:ilvl w:val="0"/>
          <w:numId w:val="1"/>
        </w:numPr>
        <w:rPr>
          <w:rFonts w:ascii="仿宋_GB2312" w:eastAsia="仿宋_GB2312" w:hAnsiTheme="minorHAnsi"/>
          <w:kern w:val="2"/>
          <w:sz w:val="24"/>
          <w:szCs w:val="24"/>
        </w:rPr>
      </w:pPr>
      <w:bookmarkStart w:id="0" w:name="OLE_LINK4"/>
      <w:r>
        <w:rPr>
          <w:rFonts w:ascii="仿宋_GB2312" w:eastAsia="仿宋_GB2312" w:hAnsiTheme="minorHAnsi"/>
          <w:kern w:val="2"/>
          <w:sz w:val="24"/>
          <w:szCs w:val="24"/>
        </w:rPr>
        <w:fldChar w:fldCharType="begin"/>
      </w:r>
      <w:r>
        <w:rPr>
          <w:rFonts w:ascii="仿宋_GB2312" w:eastAsia="仿宋_GB2312" w:hAnsiTheme="minorHAnsi"/>
          <w:kern w:val="2"/>
          <w:sz w:val="24"/>
          <w:szCs w:val="24"/>
        </w:rPr>
        <w:instrText xml:space="preserve"> HYPERLINK \l "_Toc11904" </w:instrText>
      </w:r>
      <w:r>
        <w:rPr>
          <w:rFonts w:ascii="仿宋_GB2312" w:eastAsia="仿宋_GB2312" w:hAnsiTheme="minorHAnsi"/>
          <w:kern w:val="2"/>
          <w:sz w:val="24"/>
          <w:szCs w:val="24"/>
        </w:rPr>
        <w:fldChar w:fldCharType="separate"/>
      </w:r>
      <w:r>
        <w:rPr>
          <w:rFonts w:ascii="仿宋_GB2312" w:eastAsia="仿宋_GB2312" w:hAnsiTheme="minorHAnsi"/>
          <w:kern w:val="2"/>
          <w:sz w:val="24"/>
          <w:szCs w:val="24"/>
        </w:rPr>
        <w:t>五载全球鉴评砺初心 原创理论开新局 —中国主导ISO腐蚀全生命周期标准落地五年 开启现代腐蚀熵增学文明共演新纪元</w:t>
      </w:r>
      <w:r>
        <w:rPr>
          <w:rFonts w:ascii="仿宋_GB2312" w:eastAsia="仿宋_GB2312" w:hAnsiTheme="minorHAnsi"/>
          <w:kern w:val="2"/>
          <w:sz w:val="24"/>
          <w:szCs w:val="24"/>
        </w:rPr>
        <w:fldChar w:fldCharType="end"/>
      </w:r>
    </w:p>
    <w:p w14:paraId="751A7EA2">
      <w:pPr>
        <w:pStyle w:val="2"/>
        <w:numPr>
          <w:ilvl w:val="0"/>
          <w:numId w:val="1"/>
        </w:numPr>
        <w:rPr>
          <w:rFonts w:ascii="仿宋_GB2312" w:eastAsia="仿宋_GB2312" w:hAnsiTheme="minorHAnsi"/>
          <w:kern w:val="2"/>
          <w:sz w:val="24"/>
          <w:szCs w:val="24"/>
        </w:rPr>
      </w:pPr>
      <w:r>
        <w:fldChar w:fldCharType="begin"/>
      </w:r>
      <w:r>
        <w:instrText xml:space="preserve"> HYPERLINK \l "_Toc28973" </w:instrText>
      </w:r>
      <w:r>
        <w:fldChar w:fldCharType="separate"/>
      </w:r>
      <w:r>
        <w:rPr>
          <w:rFonts w:hint="eastAsia" w:ascii="仿宋_GB2312" w:eastAsia="仿宋_GB2312" w:hAnsiTheme="minorHAnsi"/>
          <w:kern w:val="2"/>
          <w:sz w:val="24"/>
          <w:szCs w:val="24"/>
        </w:rPr>
        <w:t>现代腐蚀熵增学与文明智慧共演理论 —基于静态厚盾基座与双流协同的全生命周期腐蚀熵增控制工程体系</w:t>
      </w:r>
      <w:r>
        <w:rPr>
          <w:rFonts w:hint="eastAsia" w:ascii="仿宋_GB2312" w:eastAsia="仿宋_GB2312" w:hAnsiTheme="minorHAnsi"/>
          <w:kern w:val="2"/>
          <w:sz w:val="24"/>
          <w:szCs w:val="24"/>
        </w:rPr>
        <w:fldChar w:fldCharType="end"/>
      </w:r>
    </w:p>
    <w:p w14:paraId="147906EA">
      <w:pPr>
        <w:pStyle w:val="2"/>
        <w:numPr>
          <w:ilvl w:val="0"/>
          <w:numId w:val="1"/>
        </w:numPr>
        <w:rPr>
          <w:rFonts w:ascii="仿宋_GB2312" w:eastAsia="仿宋_GB2312" w:hAnsiTheme="minorHAnsi"/>
          <w:kern w:val="2"/>
          <w:sz w:val="24"/>
          <w:szCs w:val="24"/>
        </w:rPr>
      </w:pPr>
      <w:r>
        <w:fldChar w:fldCharType="begin"/>
      </w:r>
      <w:r>
        <w:instrText xml:space="preserve"> HYPERLINK \l "_Toc19358" </w:instrText>
      </w:r>
      <w:r>
        <w:fldChar w:fldCharType="separate"/>
      </w:r>
      <w:r>
        <w:rPr>
          <w:rFonts w:hint="eastAsia" w:ascii="仿宋_GB2312" w:eastAsia="仿宋_GB2312" w:hAnsiTheme="minorHAnsi"/>
          <w:kern w:val="2"/>
          <w:sz w:val="24"/>
          <w:szCs w:val="24"/>
        </w:rPr>
        <w:t>“现代腐蚀熵增学与文明智慧共演理论 ——两大‘顶天立地’厚盾应用模板”成果鉴评</w:t>
      </w:r>
      <w:r>
        <w:rPr>
          <w:rFonts w:hint="eastAsia" w:ascii="仿宋_GB2312" w:eastAsia="仿宋_GB2312" w:hAnsiTheme="minorHAnsi"/>
          <w:kern w:val="2"/>
          <w:sz w:val="24"/>
          <w:szCs w:val="24"/>
        </w:rPr>
        <w:fldChar w:fldCharType="end"/>
      </w:r>
    </w:p>
    <w:p w14:paraId="020AEE71">
      <w:pPr>
        <w:pStyle w:val="2"/>
        <w:numPr>
          <w:ilvl w:val="0"/>
          <w:numId w:val="1"/>
        </w:numPr>
        <w:rPr>
          <w:rFonts w:ascii="仿宋_GB2312" w:eastAsia="仿宋_GB2312" w:hAnsiTheme="minorHAnsi"/>
          <w:kern w:val="2"/>
          <w:sz w:val="24"/>
          <w:szCs w:val="24"/>
        </w:rPr>
      </w:pPr>
      <w:r>
        <w:fldChar w:fldCharType="begin"/>
      </w:r>
      <w:r>
        <w:instrText xml:space="preserve"> HYPERLINK \l "_Toc26256" </w:instrText>
      </w:r>
      <w:r>
        <w:fldChar w:fldCharType="separate"/>
      </w:r>
      <w:r>
        <w:rPr>
          <w:rFonts w:hint="eastAsia" w:ascii="仿宋_GB2312" w:eastAsia="仿宋_GB2312" w:hAnsiTheme="minorHAnsi"/>
          <w:kern w:val="2"/>
          <w:sz w:val="24"/>
          <w:szCs w:val="24"/>
        </w:rPr>
        <w:t>现代腐蚀熵增学核心宣言</w:t>
      </w:r>
      <w:r>
        <w:rPr>
          <w:rFonts w:hint="eastAsia" w:ascii="仿宋_GB2312" w:eastAsia="仿宋_GB2312" w:hAnsiTheme="minorHAnsi"/>
          <w:kern w:val="2"/>
          <w:sz w:val="24"/>
          <w:szCs w:val="24"/>
        </w:rPr>
        <w:fldChar w:fldCharType="end"/>
      </w:r>
    </w:p>
    <w:p w14:paraId="786A17B3">
      <w:pPr>
        <w:pStyle w:val="2"/>
        <w:numPr>
          <w:ilvl w:val="0"/>
          <w:numId w:val="1"/>
        </w:numPr>
        <w:rPr>
          <w:rFonts w:ascii="仿宋_GB2312" w:eastAsia="仿宋_GB2312" w:hAnsiTheme="minorHAnsi"/>
          <w:kern w:val="2"/>
          <w:sz w:val="24"/>
          <w:szCs w:val="24"/>
        </w:rPr>
      </w:pPr>
      <w:r>
        <w:fldChar w:fldCharType="begin"/>
      </w:r>
      <w:r>
        <w:instrText xml:space="preserve"> HYPERLINK \l "_Toc8665" </w:instrText>
      </w:r>
      <w:r>
        <w:fldChar w:fldCharType="separate"/>
      </w:r>
      <w:r>
        <w:rPr>
          <w:rFonts w:hint="eastAsia" w:ascii="仿宋_GB2312" w:eastAsia="仿宋_GB2312" w:hAnsiTheme="minorHAnsi"/>
          <w:kern w:val="2"/>
          <w:sz w:val="24"/>
          <w:szCs w:val="24"/>
        </w:rPr>
        <w:t>《腐蚀熵增管控白皮书》发布重大意义（精简版）</w:t>
      </w:r>
      <w:r>
        <w:rPr>
          <w:rFonts w:hint="eastAsia" w:ascii="仿宋_GB2312" w:eastAsia="仿宋_GB2312" w:hAnsiTheme="minorHAnsi"/>
          <w:kern w:val="2"/>
          <w:sz w:val="24"/>
          <w:szCs w:val="24"/>
        </w:rPr>
        <w:fldChar w:fldCharType="end"/>
      </w:r>
    </w:p>
    <w:p w14:paraId="191C2624">
      <w:pPr>
        <w:pStyle w:val="2"/>
        <w:numPr>
          <w:ilvl w:val="0"/>
          <w:numId w:val="1"/>
        </w:numPr>
        <w:rPr>
          <w:rFonts w:ascii="仿宋_GB2312" w:eastAsia="仿宋_GB2312" w:hAnsiTheme="minorHAnsi"/>
          <w:kern w:val="2"/>
          <w:sz w:val="24"/>
          <w:szCs w:val="24"/>
        </w:rPr>
      </w:pPr>
      <w:r>
        <w:fldChar w:fldCharType="begin"/>
      </w:r>
      <w:r>
        <w:instrText xml:space="preserve"> HYPERLINK \l "_Toc27346" </w:instrText>
      </w:r>
      <w:r>
        <w:fldChar w:fldCharType="separate"/>
      </w:r>
      <w:r>
        <w:rPr>
          <w:rFonts w:hint="eastAsia" w:ascii="仿宋_GB2312" w:eastAsia="仿宋_GB2312" w:hAnsiTheme="minorHAnsi"/>
          <w:kern w:val="2"/>
          <w:sz w:val="24"/>
          <w:szCs w:val="24"/>
        </w:rPr>
        <w:t>腐蚀熵增管控白皮书发布的重大意义 ——从技术标准到文明宪章的历史性跃迁</w:t>
      </w:r>
      <w:r>
        <w:rPr>
          <w:rFonts w:hint="eastAsia" w:ascii="仿宋_GB2312" w:eastAsia="仿宋_GB2312" w:hAnsiTheme="minorHAnsi"/>
          <w:kern w:val="2"/>
          <w:sz w:val="24"/>
          <w:szCs w:val="24"/>
        </w:rPr>
        <w:fldChar w:fldCharType="end"/>
      </w:r>
    </w:p>
    <w:p w14:paraId="67F00413">
      <w:pPr>
        <w:pStyle w:val="2"/>
        <w:numPr>
          <w:ilvl w:val="0"/>
          <w:numId w:val="1"/>
        </w:numPr>
        <w:rPr>
          <w:rFonts w:ascii="仿宋_GB2312" w:eastAsia="仿宋_GB2312" w:hAnsiTheme="minorHAnsi"/>
          <w:kern w:val="2"/>
          <w:sz w:val="24"/>
          <w:szCs w:val="24"/>
        </w:rPr>
      </w:pPr>
      <w:r>
        <w:fldChar w:fldCharType="begin"/>
      </w:r>
      <w:r>
        <w:instrText xml:space="preserve"> HYPERLINK \l "_Toc470" </w:instrText>
      </w:r>
      <w:r>
        <w:fldChar w:fldCharType="separate"/>
      </w:r>
      <w:r>
        <w:rPr>
          <w:rFonts w:hint="eastAsia" w:ascii="仿宋_GB2312" w:eastAsia="仿宋_GB2312" w:hAnsiTheme="minorHAnsi"/>
          <w:kern w:val="2"/>
          <w:sz w:val="24"/>
          <w:szCs w:val="24"/>
        </w:rPr>
        <w:t>现代腐蚀熵增学：全生命周期腐蚀熵增管控标准 白 皮 书 ——基于“万物皆腐蚀”宇宙观的标准体系构建与文明实践</w:t>
      </w:r>
      <w:r>
        <w:rPr>
          <w:rFonts w:hint="eastAsia" w:ascii="仿宋_GB2312" w:eastAsia="仿宋_GB2312" w:hAnsiTheme="minorHAnsi"/>
          <w:kern w:val="2"/>
          <w:sz w:val="24"/>
          <w:szCs w:val="24"/>
        </w:rPr>
        <w:fldChar w:fldCharType="end"/>
      </w:r>
    </w:p>
    <w:p w14:paraId="7DD9344D">
      <w:pPr>
        <w:pStyle w:val="2"/>
        <w:numPr>
          <w:ilvl w:val="0"/>
          <w:numId w:val="1"/>
        </w:numPr>
        <w:rPr>
          <w:rFonts w:ascii="仿宋_GB2312" w:eastAsia="仿宋_GB2312" w:hAnsiTheme="minorHAnsi"/>
          <w:kern w:val="2"/>
          <w:sz w:val="24"/>
          <w:szCs w:val="24"/>
        </w:rPr>
      </w:pPr>
      <w:r>
        <w:fldChar w:fldCharType="begin"/>
      </w:r>
      <w:r>
        <w:instrText xml:space="preserve"> HYPERLINK \l "_Toc32688" </w:instrText>
      </w:r>
      <w:r>
        <w:fldChar w:fldCharType="separate"/>
      </w:r>
      <w:r>
        <w:rPr>
          <w:rFonts w:hint="eastAsia" w:ascii="仿宋_GB2312" w:eastAsia="仿宋_GB2312" w:hAnsiTheme="minorHAnsi"/>
          <w:kern w:val="2"/>
          <w:sz w:val="24"/>
          <w:szCs w:val="24"/>
        </w:rPr>
        <w:t>香梦之中 ——人类世危机的制度性麻醉与醒来之路</w:t>
      </w:r>
      <w:r>
        <w:rPr>
          <w:rFonts w:hint="eastAsia" w:ascii="仿宋_GB2312" w:eastAsia="仿宋_GB2312" w:hAnsiTheme="minorHAnsi"/>
          <w:kern w:val="2"/>
          <w:sz w:val="24"/>
          <w:szCs w:val="24"/>
        </w:rPr>
        <w:fldChar w:fldCharType="end"/>
      </w:r>
    </w:p>
    <w:p w14:paraId="10B8614A">
      <w:pPr>
        <w:pStyle w:val="2"/>
        <w:numPr>
          <w:ilvl w:val="0"/>
          <w:numId w:val="1"/>
        </w:numPr>
        <w:rPr>
          <w:rFonts w:ascii="仿宋_GB2312" w:eastAsia="仿宋_GB2312" w:hAnsiTheme="minorHAnsi"/>
          <w:kern w:val="2"/>
          <w:sz w:val="24"/>
          <w:szCs w:val="24"/>
        </w:rPr>
      </w:pPr>
      <w:r>
        <w:fldChar w:fldCharType="begin"/>
      </w:r>
      <w:r>
        <w:instrText xml:space="preserve"> HYPERLINK \l "_Toc13156" </w:instrText>
      </w:r>
      <w:r>
        <w:fldChar w:fldCharType="separate"/>
      </w:r>
      <w:r>
        <w:rPr>
          <w:rFonts w:hint="eastAsia" w:ascii="仿宋_GB2312" w:eastAsia="仿宋_GB2312" w:hAnsiTheme="minorHAnsi"/>
          <w:kern w:val="2"/>
          <w:sz w:val="24"/>
          <w:szCs w:val="24"/>
        </w:rPr>
        <w:t>人类中心主义的历史谱系、制度惯性与超越路径 ——基于"人与自然是生命共同体"理念的哲学审视</w:t>
      </w:r>
      <w:r>
        <w:rPr>
          <w:rFonts w:hint="eastAsia" w:ascii="仿宋_GB2312" w:eastAsia="仿宋_GB2312" w:hAnsiTheme="minorHAnsi"/>
          <w:kern w:val="2"/>
          <w:sz w:val="24"/>
          <w:szCs w:val="24"/>
        </w:rPr>
        <w:fldChar w:fldCharType="end"/>
      </w:r>
    </w:p>
    <w:p w14:paraId="0C791C58">
      <w:pPr>
        <w:pStyle w:val="2"/>
        <w:numPr>
          <w:ilvl w:val="0"/>
          <w:numId w:val="1"/>
        </w:numPr>
        <w:rPr>
          <w:rFonts w:ascii="仿宋_GB2312" w:eastAsia="仿宋_GB2312" w:hAnsiTheme="minorHAnsi"/>
          <w:kern w:val="2"/>
          <w:sz w:val="24"/>
          <w:szCs w:val="24"/>
        </w:rPr>
      </w:pPr>
      <w:r>
        <w:fldChar w:fldCharType="begin"/>
      </w:r>
      <w:r>
        <w:instrText xml:space="preserve"> HYPERLINK \l "_Toc28338" </w:instrText>
      </w:r>
      <w:r>
        <w:fldChar w:fldCharType="separate"/>
      </w:r>
      <w:r>
        <w:rPr>
          <w:rFonts w:ascii="仿宋_GB2312" w:eastAsia="仿宋_GB2312" w:hAnsiTheme="minorHAnsi"/>
          <w:kern w:val="2"/>
          <w:sz w:val="24"/>
          <w:szCs w:val="24"/>
        </w:rPr>
        <w:t>基于广义涂层熵敏感界面的本体-环境抗力三位一体全域质量退化统一评价体系</w:t>
      </w:r>
      <w:r>
        <w:rPr>
          <w:rFonts w:ascii="仿宋_GB2312" w:eastAsia="仿宋_GB2312" w:hAnsiTheme="minorHAnsi"/>
          <w:kern w:val="2"/>
          <w:sz w:val="24"/>
          <w:szCs w:val="24"/>
        </w:rPr>
        <w:fldChar w:fldCharType="end"/>
      </w:r>
    </w:p>
    <w:p w14:paraId="1D4101E3">
      <w:pPr>
        <w:pStyle w:val="2"/>
        <w:numPr>
          <w:ilvl w:val="0"/>
          <w:numId w:val="1"/>
        </w:numPr>
        <w:rPr>
          <w:rFonts w:ascii="仿宋_GB2312" w:eastAsia="仿宋_GB2312" w:hAnsiTheme="minorHAnsi"/>
          <w:kern w:val="2"/>
          <w:sz w:val="24"/>
          <w:szCs w:val="24"/>
        </w:rPr>
      </w:pPr>
      <w:r>
        <w:fldChar w:fldCharType="begin"/>
      </w:r>
      <w:r>
        <w:instrText xml:space="preserve"> HYPERLINK \l "_Toc24311" </w:instrText>
      </w:r>
      <w:r>
        <w:fldChar w:fldCharType="separate"/>
      </w:r>
      <w:r>
        <w:rPr>
          <w:rFonts w:ascii="仿宋_GB2312" w:eastAsia="仿宋_GB2312" w:hAnsiTheme="minorHAnsi"/>
          <w:kern w:val="2"/>
          <w:sz w:val="24"/>
          <w:szCs w:val="24"/>
        </w:rPr>
        <w:t>三位一体SEU熵增新体系下 原有ISO/国标定性评价标准的定位、核心作用与协同关系</w:t>
      </w:r>
      <w:r>
        <w:rPr>
          <w:rFonts w:ascii="仿宋_GB2312" w:eastAsia="仿宋_GB2312" w:hAnsiTheme="minorHAnsi"/>
          <w:kern w:val="2"/>
          <w:sz w:val="24"/>
          <w:szCs w:val="24"/>
        </w:rPr>
        <w:fldChar w:fldCharType="end"/>
      </w:r>
    </w:p>
    <w:p w14:paraId="61F2117E">
      <w:pPr>
        <w:pStyle w:val="2"/>
        <w:numPr>
          <w:ilvl w:val="0"/>
          <w:numId w:val="1"/>
        </w:numPr>
        <w:rPr>
          <w:rFonts w:ascii="仿宋_GB2312" w:eastAsia="仿宋_GB2312" w:hAnsiTheme="minorHAnsi"/>
          <w:kern w:val="2"/>
          <w:sz w:val="24"/>
          <w:szCs w:val="24"/>
        </w:rPr>
      </w:pPr>
      <w:r>
        <w:fldChar w:fldCharType="begin"/>
      </w:r>
      <w:r>
        <w:instrText xml:space="preserve"> HYPERLINK \l "_Toc30537" </w:instrText>
      </w:r>
      <w:r>
        <w:fldChar w:fldCharType="separate"/>
      </w:r>
      <w:r>
        <w:rPr>
          <w:rFonts w:hint="eastAsia" w:ascii="仿宋_GB2312" w:eastAsia="仿宋_GB2312" w:hAnsiTheme="minorHAnsi"/>
          <w:kern w:val="2"/>
          <w:sz w:val="24"/>
          <w:szCs w:val="24"/>
        </w:rPr>
        <w:t>《基于涂层与界面表征的万物本体质量及环境抗力评价新体系研究》数学公式量化补充</w:t>
      </w:r>
      <w:r>
        <w:rPr>
          <w:rFonts w:hint="eastAsia" w:ascii="仿宋_GB2312" w:eastAsia="仿宋_GB2312" w:hAnsiTheme="minorHAnsi"/>
          <w:kern w:val="2"/>
          <w:sz w:val="24"/>
          <w:szCs w:val="24"/>
        </w:rPr>
        <w:fldChar w:fldCharType="end"/>
      </w:r>
    </w:p>
    <w:p w14:paraId="1E95F92D">
      <w:pPr>
        <w:pStyle w:val="2"/>
        <w:numPr>
          <w:ilvl w:val="0"/>
          <w:numId w:val="1"/>
        </w:numPr>
        <w:rPr>
          <w:rFonts w:ascii="仿宋_GB2312" w:eastAsia="仿宋_GB2312" w:hAnsiTheme="minorHAnsi"/>
          <w:kern w:val="2"/>
          <w:sz w:val="24"/>
          <w:szCs w:val="24"/>
        </w:rPr>
      </w:pPr>
      <w:r>
        <w:fldChar w:fldCharType="begin"/>
      </w:r>
      <w:r>
        <w:instrText xml:space="preserve"> HYPERLINK \l "_Toc17380" </w:instrText>
      </w:r>
      <w:r>
        <w:fldChar w:fldCharType="separate"/>
      </w:r>
      <w:r>
        <w:rPr>
          <w:rFonts w:ascii="仿宋_GB2312" w:eastAsia="仿宋_GB2312" w:hAnsiTheme="minorHAnsi"/>
          <w:kern w:val="2"/>
          <w:sz w:val="24"/>
          <w:szCs w:val="24"/>
        </w:rPr>
        <w:t>涂层界面熵元三位一体评价体系实验室标定标准化操作流程 检测实验室</w:t>
      </w:r>
      <w:r>
        <w:rPr>
          <w:rFonts w:ascii="仿宋_GB2312" w:eastAsia="仿宋_GB2312" w:hAnsiTheme="minorHAnsi"/>
          <w:kern w:val="2"/>
          <w:sz w:val="24"/>
          <w:szCs w:val="24"/>
        </w:rPr>
        <w:fldChar w:fldCharType="end"/>
      </w:r>
    </w:p>
    <w:p w14:paraId="7A84E41F">
      <w:pPr>
        <w:pStyle w:val="2"/>
        <w:numPr>
          <w:ilvl w:val="0"/>
          <w:numId w:val="1"/>
        </w:numPr>
        <w:rPr>
          <w:rFonts w:ascii="仿宋_GB2312" w:eastAsia="仿宋_GB2312" w:hAnsiTheme="minorHAnsi"/>
          <w:kern w:val="2"/>
          <w:sz w:val="24"/>
          <w:szCs w:val="24"/>
        </w:rPr>
      </w:pPr>
      <w:r>
        <w:fldChar w:fldCharType="begin"/>
      </w:r>
      <w:r>
        <w:instrText xml:space="preserve"> HYPERLINK \l "_Toc27279" </w:instrText>
      </w:r>
      <w:r>
        <w:fldChar w:fldCharType="separate"/>
      </w:r>
      <w:r>
        <w:rPr>
          <w:rFonts w:ascii="仿宋_GB2312" w:eastAsia="仿宋_GB2312" w:hAnsiTheme="minorHAnsi"/>
          <w:kern w:val="2"/>
          <w:sz w:val="24"/>
          <w:szCs w:val="24"/>
        </w:rPr>
        <w:t>涂层界面熵元三位一体评价体系工程现场实地检测标准化操作流程 防腐检测运维班组</w:t>
      </w:r>
      <w:r>
        <w:rPr>
          <w:rFonts w:ascii="仿宋_GB2312" w:eastAsia="仿宋_GB2312" w:hAnsiTheme="minorHAnsi"/>
          <w:kern w:val="2"/>
          <w:sz w:val="24"/>
          <w:szCs w:val="24"/>
        </w:rPr>
        <w:fldChar w:fldCharType="end"/>
      </w:r>
    </w:p>
    <w:p w14:paraId="573082FB">
      <w:pPr>
        <w:pStyle w:val="2"/>
        <w:numPr>
          <w:ilvl w:val="0"/>
          <w:numId w:val="1"/>
        </w:numPr>
        <w:rPr>
          <w:rFonts w:ascii="仿宋_GB2312" w:eastAsia="仿宋_GB2312" w:hAnsiTheme="minorHAnsi"/>
          <w:kern w:val="2"/>
          <w:sz w:val="24"/>
          <w:szCs w:val="24"/>
        </w:rPr>
      </w:pPr>
      <w:r>
        <w:fldChar w:fldCharType="begin"/>
      </w:r>
      <w:r>
        <w:instrText xml:space="preserve"> HYPERLINK \l "_Toc10636" </w:instrText>
      </w:r>
      <w:r>
        <w:fldChar w:fldCharType="separate"/>
      </w:r>
      <w:r>
        <w:rPr>
          <w:rFonts w:hint="eastAsia" w:ascii="仿宋_GB2312" w:eastAsia="仿宋_GB2312" w:hAnsiTheme="minorHAnsi"/>
          <w:kern w:val="2"/>
          <w:sz w:val="24"/>
          <w:szCs w:val="24"/>
        </w:rPr>
        <w:t>熵增阈值概念、简况</w:t>
      </w:r>
      <w:r>
        <w:rPr>
          <w:rFonts w:hint="eastAsia" w:ascii="仿宋_GB2312" w:eastAsia="仿宋_GB2312" w:hAnsiTheme="minorHAnsi"/>
          <w:kern w:val="2"/>
          <w:sz w:val="24"/>
          <w:szCs w:val="24"/>
        </w:rPr>
        <w:fldChar w:fldCharType="end"/>
      </w:r>
    </w:p>
    <w:bookmarkEnd w:id="0"/>
    <w:p w14:paraId="06EF40A6">
      <w:bookmarkStart w:id="1" w:name="_GoBack"/>
      <w:bookmarkEnd w:id="1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396992F"/>
    <w:multiLevelType w:val="singleLevel"/>
    <w:tmpl w:val="D396992F"/>
    <w:lvl w:ilvl="0" w:tentative="0">
      <w:start w:val="1"/>
      <w:numFmt w:val="chineseCounting"/>
      <w:suff w:val="nothing"/>
      <w:lvlText w:val="%1、"/>
      <w:lvlJc w:val="left"/>
      <w:pPr>
        <w:ind w:left="0" w:firstLine="42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DBE4403"/>
    <w:rsid w:val="5DBE4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4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1"/>
    <w:basedOn w:val="1"/>
    <w:next w:val="1"/>
    <w:qFormat/>
    <w:uiPriority w:val="0"/>
    <w:pPr>
      <w:tabs>
        <w:tab w:val="right" w:leader="dot" w:pos="9745"/>
      </w:tabs>
      <w:spacing w:line="288" w:lineRule="auto"/>
    </w:pPr>
    <w:rPr>
      <w:rFonts w:ascii="Times New Roman" w:hAnsi="Times New Roman"/>
      <w:kern w:val="0"/>
      <w:sz w:val="28"/>
      <w:szCs w:val="2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2026-08-19T06:07:00Z</dcterms:created>
  <dc:creator>菠萝包</dc:creator>
  <cp:lastModifiedBy>菠萝包</cp:lastModifiedBy>
  <dcterms:modified xsi:type="dcterms:W3CDTF">2026-08-19T06:08:00Z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95E9F20B47634531ABCE539AD1CBA333_11</vt:lpwstr>
  </property>
  <property fmtid="{D5CDD505-2E9C-101B-9397-08002B2CF9AE}" pid="4" name="KSOTemplateDocerSaveRecord">
    <vt:lpwstr>eyJoZGlkIjoiYTRkMTU1MDNhODYzYjdmZWMyOTNlNWQ2M2RhNTViYTMiLCJ1c2VySWQiOiI3Nzg2MjEzMzEifQ==</vt:lpwstr>
  </property>
</Properties>
</file>