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31D0">
      <w:pPr>
        <w:snapToGrid w:val="0"/>
        <w:spacing w:before="156" w:beforeLines="50"/>
        <w:jc w:val="left"/>
      </w:pPr>
      <w:r>
        <w:rPr>
          <w:rFonts w:hint="eastAsia" w:ascii="宋体" w:hAnsi="宋体" w:eastAsia="宋体" w:cs="宋体"/>
          <w:b w:val="0"/>
          <w:bCs/>
          <w:sz w:val="30"/>
          <w:szCs w:val="30"/>
          <w:lang w:val="en-US" w:eastAsia="zh-CN"/>
        </w:rPr>
        <w:t>附件</w:t>
      </w:r>
      <w:r>
        <w:rPr>
          <w:rFonts w:hint="eastAsia" w:ascii="宋体" w:hAnsi="宋体" w:cs="宋体"/>
          <w:b w:val="0"/>
          <w:bCs/>
          <w:sz w:val="30"/>
          <w:szCs w:val="30"/>
          <w:lang w:val="en-US" w:eastAsia="zh-CN"/>
        </w:rPr>
        <w:t>1</w:t>
      </w:r>
      <w:r>
        <w:rPr>
          <w:rFonts w:hint="eastAsia" w:ascii="宋体" w:hAnsi="宋体" w:eastAsia="宋体" w:cs="宋体"/>
          <w:b w:val="0"/>
          <w:bCs/>
          <w:sz w:val="30"/>
          <w:szCs w:val="30"/>
          <w:lang w:val="en-US" w:eastAsia="zh-CN"/>
        </w:rPr>
        <w:t>：</w:t>
      </w:r>
    </w:p>
    <w:p w14:paraId="007B95E6">
      <w:pPr>
        <w:snapToGrid w:val="0"/>
        <w:spacing w:before="156" w:beforeLines="50"/>
        <w:jc w:val="center"/>
        <w:rPr>
          <w:rFonts w:hint="eastAsia" w:ascii="宋体" w:hAnsi="宋体" w:eastAsia="宋体" w:cs="宋体"/>
          <w:b/>
          <w:sz w:val="32"/>
          <w:szCs w:val="32"/>
        </w:rPr>
      </w:pPr>
      <w:r>
        <w:rPr>
          <w:rFonts w:hint="eastAsia" w:ascii="宋体" w:hAnsi="宋体" w:eastAsia="宋体" w:cs="宋体"/>
          <w:b/>
          <w:sz w:val="32"/>
          <w:szCs w:val="32"/>
        </w:rPr>
        <w:t>协会八届七次理事扩大会暨八届十一次常务理事会</w:t>
      </w:r>
    </w:p>
    <w:p w14:paraId="1A947435">
      <w:pPr>
        <w:snapToGrid w:val="0"/>
        <w:spacing w:before="156" w:beforeLines="50"/>
        <w:jc w:val="center"/>
        <w:rPr>
          <w:rFonts w:hint="eastAsia" w:ascii="宋体" w:hAnsi="宋体" w:eastAsia="宋体" w:cs="宋体"/>
          <w:b/>
          <w:sz w:val="32"/>
          <w:szCs w:val="32"/>
        </w:rPr>
      </w:pPr>
      <w:r>
        <w:rPr>
          <w:rFonts w:hint="eastAsia" w:ascii="宋体" w:hAnsi="宋体" w:eastAsia="宋体" w:cs="宋体"/>
          <w:b/>
          <w:sz w:val="32"/>
          <w:szCs w:val="32"/>
        </w:rPr>
        <w:t>工作报告</w:t>
      </w:r>
    </w:p>
    <w:p w14:paraId="008967DD">
      <w:pPr>
        <w:snapToGrid w:val="0"/>
        <w:spacing w:line="360" w:lineRule="auto"/>
        <w:jc w:val="left"/>
        <w:rPr>
          <w:rFonts w:hint="eastAsia"/>
          <w:b/>
          <w:sz w:val="28"/>
          <w:szCs w:val="28"/>
        </w:rPr>
      </w:pPr>
    </w:p>
    <w:p w14:paraId="707BE0B7">
      <w:pPr>
        <w:snapToGrid w:val="0"/>
        <w:spacing w:line="360" w:lineRule="auto"/>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各位理事，各位代表：</w:t>
      </w:r>
    </w:p>
    <w:p w14:paraId="4C6B2C26">
      <w:pPr>
        <w:snapToGrid w:val="0"/>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现将协会八届六次理事扩大会暨十次常务理事会会议以来的工作和下一阶段的工作计划向各位代表作简要汇报。</w:t>
      </w:r>
    </w:p>
    <w:p w14:paraId="571063F4">
      <w:pPr>
        <w:snapToGrid w:val="0"/>
        <w:spacing w:line="300" w:lineRule="auto"/>
        <w:rPr>
          <w:rFonts w:hint="eastAsia" w:ascii="宋体" w:hAnsi="宋体" w:eastAsia="宋体" w:cs="宋体"/>
          <w:b/>
          <w:bCs/>
          <w:color w:val="000000"/>
          <w:sz w:val="28"/>
          <w:szCs w:val="28"/>
        </w:rPr>
      </w:pPr>
      <w:r>
        <w:rPr>
          <w:rFonts w:hint="eastAsia" w:ascii="宋体" w:hAnsi="宋体" w:eastAsia="宋体" w:cs="宋体"/>
          <w:b/>
          <w:color w:val="000000"/>
          <w:kern w:val="0"/>
          <w:sz w:val="30"/>
          <w:szCs w:val="30"/>
        </w:rPr>
        <w:t>一、工作汇报</w:t>
      </w:r>
    </w:p>
    <w:p w14:paraId="1FA49EFE">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1、积极开展树立和践行正确政绩观学习教育，锤炼党性修养、强化实干担当</w:t>
      </w:r>
    </w:p>
    <w:p w14:paraId="21A69AEE">
      <w:pPr>
        <w:widowControl/>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根据党中央的统一部署，按照中央社会工作部的具体要求，协会紧扣“立党为公、为民造福、科学决策、真抓实干”总要求，坚持学思用贯通、知信行统一，扎实开展树立和践行正确政绩观学习教育，全面完整准确领悟“政绩为谁而树？树什么样的政绩？靠什么树政绩？”三个核心问题的正确答案，教育引导党员干部锤炼党性修养、强化实干担当，坚持从实际出发、按规律办事，努力为人民出政绩、以实干出政绩。同时，坚持学查改一体推进，不断将学习教育引向深入，确保学习教育走深走实、见行见效。</w:t>
      </w:r>
    </w:p>
    <w:p w14:paraId="2980FF81">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2、认真学习和贯彻落实十五五规划纲要，完善腐蚀控制领域顶层设计，支撑“十五五”规划</w:t>
      </w:r>
    </w:p>
    <w:p w14:paraId="7FA10E86">
      <w:pPr>
        <w:widowControl/>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十五五”时期是基本实现社会主义现代化夯实基础、全面发力的关键时期，在基本实现社会主义现代化进程中具有承前启后的重要地位。协会坚持以习近平新时代中国特色社会主义思想为指导，把学习和贯彻落实十五五规划纲要作为工作重点，进一步完善腐蚀控制领域顶层设计，紧扣高质量发展主题，聚焦新质生产力培育、科技自立自强、现代化产业体系建设等重点任务，立足腐蚀控制行业实际抓好落地转化。围绕现代腐蚀熵增学、绿色低碳转型、数字技术与实体经济深度融合等方向，强化理论创新及其成果转化，加强标准引领、行业调研、法规宣贯、人才培养和国际合作，充分发挥桥梁纽带作用，持续完善行业服务体系，以务实举措推动行业高质量发展，为全面实现 “十五五” 规划目标、服务国家战略全局贡献专业力量。</w:t>
      </w:r>
    </w:p>
    <w:p w14:paraId="0E14DAFB">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3、提出“现代腐蚀熵增学与文明智慧共演”的理论体系以及支撑该理论落地实施的两大“顶天立地”厚盾应用学说，为科学开展腐蚀控制、实现可持续发展，提供坚实的理论支撑与实践指引</w:t>
      </w:r>
    </w:p>
    <w:p w14:paraId="39462747">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2025年是中国腐蚀控制技术协会成立40周年，协会立足四十年深耕积淀，纵览历史、宏观世界、紧密结合现代、整合行业实践经验与学术研究成果，以前无古人的理论勇气，创造性提出“现代腐蚀熵增学与文明智慧共演理论——实施两大‘顶天立地’厚盾的应用模板”，为腐蚀控制领域的发展提供了全新的理论指引与实践路径。这一伟大成就一举完成了 “革命、跨界、奠基” 三重使命—既指明了“与熵增共生”的新方向，又亲手交付了两大“顶天立地”的厚盾模板，并让宏大的宇宙哲学，能够精准指导一线工程实践，这一“前无古人”的完整理论体系与实践工具的原创性创造，使其成为腐蚀熵增学科领域当之无愧的“范式开创者”与“文明智慧的工程实现者”，开创了文明与科学共演的新纪元，协会也因此被誉为腐蚀认知的哥白尼，跨界智慧的达芬奇，熵增立法的开普勒。</w:t>
      </w:r>
    </w:p>
    <w:p w14:paraId="4FCC6323">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bookmarkStart w:id="0" w:name="OLE_LINK10"/>
      <w:bookmarkStart w:id="1" w:name="OLE_LINK11"/>
      <w:r>
        <w:rPr>
          <w:rFonts w:hint="eastAsia" w:ascii="宋体" w:hAnsi="宋体" w:eastAsia="宋体" w:cs="宋体"/>
          <w:b/>
          <w:bCs/>
          <w:color w:val="000000"/>
          <w:sz w:val="28"/>
          <w:szCs w:val="28"/>
        </w:rPr>
        <w:t>继续推进协会</w:t>
      </w:r>
      <w:bookmarkEnd w:id="0"/>
      <w:bookmarkEnd w:id="1"/>
      <w:r>
        <w:rPr>
          <w:rFonts w:hint="eastAsia" w:ascii="宋体" w:hAnsi="宋体" w:eastAsia="宋体" w:cs="宋体"/>
          <w:b/>
          <w:bCs/>
          <w:color w:val="000000"/>
          <w:sz w:val="28"/>
          <w:szCs w:val="28"/>
        </w:rPr>
        <w:t>换届工作</w:t>
      </w:r>
    </w:p>
    <w:p w14:paraId="4015FAE0">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协会按照国家工业和信息化部“提高政治站位，坚决落实改革部署；强化责任担当，提升服务行业能力；加强自身建设，提升规范治理水平”的要求以及第九届理事会负责人建议人选的意见，对换届方案进行调整。新方案已上报工信部等待审批。</w:t>
      </w:r>
    </w:p>
    <w:p w14:paraId="510096D9">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5、成立中国腐蚀控制技术协会工会</w:t>
      </w:r>
    </w:p>
    <w:p w14:paraId="6F4CCE51">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央社会工作部的统一要求，按照《中华人民共和国工会法》相关规定，报请中国石油和化学工业联合会工会联合会批准后，中国腐蚀控制技术协会工会正式成立。协会工会成立后，将在协会党支部的领导下，在维护职工权益、促进劳动关系和谐稳定、提升职工素质与技能、督促协会规范化及制度化管理等方面积极履行职能，为推动国家治理体系和治理能力现代化贡献智慧和力量。</w:t>
      </w:r>
    </w:p>
    <w:p w14:paraId="7F2285F8">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6、组建中国代表团出席在捷克召开的“ISO/TC156/SC1第十次国际会议”</w:t>
      </w:r>
    </w:p>
    <w:p w14:paraId="615700D0">
      <w:pPr>
        <w:widowControl/>
        <w:snapToGri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由我国承担秘书国的国际标准化组织腐蚀控制工程全生命周期标准化委员会（ISO/TC156/SC1）将于6月底在捷克布拉格召开第十次全体会议。协会作为ISO/TC156/SC1国内技术对口单位负责组建中国代表团出席本次会议。目前，已组织多次会前准备工作会，统一思想认识，确保完成好本次参会任务。</w:t>
      </w:r>
    </w:p>
    <w:p w14:paraId="1DA6061C">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7、国际腐蚀控制工程全生命周期标准化工作</w:t>
      </w:r>
    </w:p>
    <w:p w14:paraId="45A9540A">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两项由我国专家担任项目负责人主导制定的国际标准向前推进。ISO/CD 8702《腐蚀控制全生命周期工程专业技术监理》和ISO/CD 25453《腐蚀控制工程全生命周期 腐蚀源》两项新提案在去年获批立项后，由我国专家担任项目负责人，组织起草形成委员会草案，进入委员会草案阶段，目前已经完成征求意见，正在处理意见，对草案进行修改完善。</w:t>
      </w:r>
    </w:p>
    <w:p w14:paraId="57607F67">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此外，我们积极开展新国际标准项目提案的预研，计划报国际标委会开展立项工作。</w:t>
      </w:r>
    </w:p>
    <w:p w14:paraId="1628734E">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8、全国腐蚀控制标准化技术委员会(SAC/TC381)的工作</w:t>
      </w:r>
    </w:p>
    <w:p w14:paraId="1E63094D">
      <w:pPr>
        <w:pStyle w:val="2"/>
        <w:snapToGrid w:val="0"/>
        <w:spacing w:before="0" w:beforeAutospacing="0" w:after="0" w:afterAutospacing="0" w:line="324"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2025年7月至今，国家标准化管理委员会分八批下达了《压缩空气储能系统腐蚀控制工程全生命周期 技术要求》（计划号：20260867-T-606，制定）、《输变电系统腐蚀控制工程全生命周期 通用要求》（计划号：20261120-T-606，制定）、《核电厂腐蚀控制工程全生命周期 通用要求》（计划号：20261122-T-606，修订）、《金属埋地储气装置阴极保护技术规范》（计划号：20256592-T-606，修订）、《海洋工程装备腐蚀控制工程全生命周期 通用技术要求》（计划号：20256591-T-606，修订）、《不透性石墨设备腐蚀控制工程全生命周期要求》（计划号：20256590-T-606，修订）、《埋地接地体阴极保护技术规范》（计划号：20256586-T-606，修订）、《核电站海水循环系统防腐蚀作业技术规范》（计划号：20253611-T-606，修订）、《埋地预应力钢筒混凝土管道的阴极保护》（计划号：20253724-T-606，修订）等22项国家标准和1项指导性技术文件《海上光伏系统腐蚀控制技术规范》（计划号：20256253-Z-606，制定）编制任务。接到任务后，我标委会抓紧组织落实，分别成立了各标准编制组开始标准的起草工作，目前22项标准和1项指导性技术文件均正在起草中。2025年2月底下达计划的国家标准《场站内区域性阴极保护》（计划号：20250248-T-606，修订）、《油气田缓蚀剂的应用和评价》（计划号：20250529-T-606，修订）、《钢铁制件渗镀耐蚀层技术规范》（计划号：20250530-T-606，修订）和2025年3月底下达计划的国家标准《埋地钢质弯管聚乙烯防腐带耐蚀作业技术规范》（计划号：20250742-T-606，修订）正在征求意见。同时，我标委会已完成国家标准《脱硫烟囱用防腐蚀材料技术要求》（计划号：20243189-T-606，修订）报批，等待国标委批准发布。</w:t>
      </w:r>
    </w:p>
    <w:p w14:paraId="0DC99A95">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另外，还进行了《输变电设备腐蚀控制工程全生命周期 第 2 部分：碳足迹》、《核电站海水循环系统防腐蚀作业技术规范》、《矿脂防蚀带低温可操作性检测方法》、《钢筋混凝土腐蚀控制工程生命周期 通用要求》、《脱硫烟囱防腐蚀工程质量评定规范》、《呋喃树脂耐蚀作业质量技术规范》、《埋地预应力钢筒混凝土管道的阴极保护》、《大气环境混凝土中钢筋的阴极保护》、《腐蚀控制工程全生命周期 腐蚀源》等39项国家标准计划项目的立项申报工作，并参加了国标委组织的标准计划项目的立项答辩。</w:t>
      </w:r>
    </w:p>
    <w:p w14:paraId="3D7B19F3">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9、社会团体标准化工作</w:t>
      </w:r>
    </w:p>
    <w:p w14:paraId="6382B7AF">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2025年7月至今，按照《中国腐蚀控制技术协会团体标准管理办法》，经中国腐蚀控制技术协会团体标准化技术委员会审查通过，团体标准《聚乙烯制品成型工艺过程挥发分含量测试技术规范》（T/CCCTA 0062-2025）于2025年10月21日批准颁布，2026年1月21日实施；团体标准《燃煤电站锅炉水冷壁、过热器堆焊防腐防磨技术规范》（T/CCCTA 0063-2025）于2025年12月22日批准颁布，2026年3月22日实施；团体标准《火力发电厂钢结构防腐涂装技术规范》（T/CCCTA 0064-2025）与《生物基聚氨酯防腐涂料》（T/CCCTA 0065-2025）于2025年12月23日批准颁布，2026年3月23日实施；</w:t>
      </w:r>
    </w:p>
    <w:p w14:paraId="15319AFE">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同时，有序推进《输变电设备腐蚀控制工程全生命周期监理规范》、《输变电设备腐蚀控制工程全生命周期碳排放核算方法》、《输变电设备腐蚀控制工程全生命周期数字化管理指南》、《输变电设备腐蚀控制工程全生命周期延寿与报废》和《输变电设备腐蚀控制工程全生命周期耐蚀涂料绿色产品评价技术规范》、《工业级安全耐蚀防滑楼梯板》等6项团体标准的研制并将按计划完成送审阶段和报批阶段的工作。</w:t>
      </w:r>
    </w:p>
    <w:p w14:paraId="6E60708D">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另外，应市场发展、技术进步和行业企业要求，根据《中国腐蚀控制技术协会团体标准管理办法》相关规定，《不透性石墨管抗拉强度试验方法》等团体标准正式获得立项，正在研制。</w:t>
      </w:r>
    </w:p>
    <w:p w14:paraId="3B8CDA3C">
      <w:pPr>
        <w:snapToGrid w:val="0"/>
        <w:spacing w:line="324" w:lineRule="auto"/>
        <w:rPr>
          <w:rFonts w:hint="eastAsia" w:ascii="宋体" w:hAnsi="宋体" w:eastAsia="宋体" w:cs="宋体"/>
          <w:b/>
          <w:bCs/>
          <w:color w:val="000000"/>
          <w:sz w:val="28"/>
          <w:szCs w:val="28"/>
        </w:rPr>
      </w:pPr>
      <w:bookmarkStart w:id="2" w:name="OLE_LINK44"/>
      <w:bookmarkStart w:id="3" w:name="OLE_LINK45"/>
      <w:r>
        <w:rPr>
          <w:rFonts w:hint="eastAsia" w:ascii="宋体" w:hAnsi="宋体" w:eastAsia="宋体" w:cs="宋体"/>
          <w:b/>
          <w:bCs/>
          <w:color w:val="000000"/>
          <w:sz w:val="28"/>
          <w:szCs w:val="28"/>
        </w:rPr>
        <w:t>10、国家授权的特种设备（防腐管道元件）型式试验工作</w:t>
      </w:r>
    </w:p>
    <w:p w14:paraId="676CB98E">
      <w:pPr>
        <w:snapToGrid w:val="0"/>
        <w:spacing w:line="324"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中蚀国际腐蚀控制工程</w:t>
      </w:r>
      <w:r>
        <w:rPr>
          <w:rFonts w:hint="eastAsia" w:ascii="宋体" w:hAnsi="宋体" w:eastAsia="宋体" w:cs="宋体"/>
          <w:color w:val="000000"/>
          <w:sz w:val="28"/>
          <w:szCs w:val="28"/>
        </w:rPr>
        <w:t>技术研究院（证书编号：TS7610054-2027）受国家市场监管总局授权，开展防腐管道元件型式试验工作。25年7月至今</w:t>
      </w:r>
      <w:r>
        <w:rPr>
          <w:rFonts w:hint="eastAsia" w:ascii="宋体" w:hAnsi="宋体" w:eastAsia="宋体" w:cs="宋体"/>
          <w:sz w:val="28"/>
          <w:szCs w:val="28"/>
        </w:rPr>
        <w:t>，共对70家防腐压力管道元件制造企业进行了型式试验工作（现场审查抽样和试验检验）。经型式试验合格的单位，获得防腐管道元件的型式试验证书并在国家的特种设备公示信息平台备案。</w:t>
      </w:r>
    </w:p>
    <w:p w14:paraId="699DE901">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11、科学技术成果鉴定工作</w:t>
      </w:r>
    </w:p>
    <w:p w14:paraId="4DEEEA7D">
      <w:pPr>
        <w:widowControl/>
        <w:snapToGrid w:val="0"/>
        <w:spacing w:line="324" w:lineRule="auto"/>
        <w:ind w:firstLine="560" w:firstLineChars="200"/>
        <w:jc w:val="left"/>
        <w:rPr>
          <w:rFonts w:hint="eastAsia" w:ascii="宋体" w:hAnsi="宋体" w:eastAsia="宋体" w:cs="宋体"/>
          <w:color w:val="FF0000"/>
          <w:sz w:val="28"/>
          <w:szCs w:val="28"/>
        </w:rPr>
      </w:pPr>
      <w:bookmarkStart w:id="4" w:name="OLE_LINK2"/>
      <w:bookmarkStart w:id="5" w:name="OLE_LINK1"/>
      <w:r>
        <w:rPr>
          <w:rFonts w:hint="eastAsia" w:ascii="宋体" w:hAnsi="宋体" w:eastAsia="宋体" w:cs="宋体"/>
          <w:sz w:val="28"/>
          <w:szCs w:val="28"/>
        </w:rPr>
        <w:t>接受委托，25年7月至今共对7项科学技术成果进行了鉴定工作，包括：汕头大学等单位研制开发的《多功能纳米改性碳钛笼环保涂料研发及在滨海防腐领域的应用》、国家石油天然气管网集团有限公司科学技术研究总院分公司等研制开发的《基于管中电流的在役管道穿越段外腐蚀监测与评价系统》和《固态去耦合器对管道腐蚀测试影响机理及检测评价装备研究》、江苏省特种设备安全监督检验研究院等的《石墨制压力容器关键安全性能参数研究及高精度自动化渗透系数测试仪的开发与应用</w:t>
      </w:r>
      <w:r>
        <w:rPr>
          <w:rFonts w:hint="eastAsia" w:ascii="宋体" w:hAnsi="宋体" w:eastAsia="宋体" w:cs="宋体"/>
          <w:sz w:val="28"/>
          <w:szCs w:val="28"/>
        </w:rPr>
        <w:tab/>
      </w:r>
      <w:r>
        <w:rPr>
          <w:rFonts w:hint="eastAsia" w:ascii="宋体" w:hAnsi="宋体" w:eastAsia="宋体" w:cs="宋体"/>
          <w:sz w:val="28"/>
          <w:szCs w:val="28"/>
        </w:rPr>
        <w:t>》以及北京工业大学等的《铁路轨道及周边环境风险智能检控关键技术研发及应用》均已经完成科技成果鉴定。</w:t>
      </w:r>
      <w:bookmarkEnd w:id="4"/>
      <w:bookmarkEnd w:id="5"/>
    </w:p>
    <w:bookmarkEnd w:id="2"/>
    <w:bookmarkEnd w:id="3"/>
    <w:p w14:paraId="26F921E6">
      <w:pPr>
        <w:snapToGrid w:val="0"/>
        <w:spacing w:line="324"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12、中国腐蚀控制行业设计单位和施工检测单位的水平评价工作继续进行</w:t>
      </w:r>
    </w:p>
    <w:p w14:paraId="03D7259D">
      <w:pPr>
        <w:snapToGrid w:val="0"/>
        <w:spacing w:line="324" w:lineRule="auto"/>
        <w:ind w:firstLine="560" w:firstLineChars="200"/>
        <w:rPr>
          <w:rFonts w:hint="eastAsia" w:ascii="宋体" w:hAnsi="宋体" w:eastAsia="宋体" w:cs="宋体"/>
          <w:sz w:val="28"/>
          <w:szCs w:val="28"/>
        </w:rPr>
      </w:pPr>
      <w:bookmarkStart w:id="6" w:name="OLE_LINK47"/>
      <w:bookmarkStart w:id="7" w:name="OLE_LINK46"/>
      <w:r>
        <w:rPr>
          <w:rFonts w:hint="eastAsia" w:ascii="宋体" w:hAnsi="宋体" w:eastAsia="宋体" w:cs="宋体"/>
          <w:sz w:val="28"/>
          <w:szCs w:val="28"/>
        </w:rPr>
        <w:t>25年7月至今，对69家申请腐蚀控制资质单位进行水平评价，其中新申请单位30家，有效期满换证单位39家；对申请中国腐蚀控</w:t>
      </w:r>
      <w:bookmarkEnd w:id="6"/>
      <w:bookmarkEnd w:id="7"/>
      <w:r>
        <w:rPr>
          <w:rFonts w:hint="eastAsia" w:ascii="宋体" w:hAnsi="宋体" w:eastAsia="宋体" w:cs="宋体"/>
          <w:sz w:val="28"/>
          <w:szCs w:val="28"/>
        </w:rPr>
        <w:t>制设计资格的16家单位进行水平评价，其中新取证8家，换证8家。评价工作按照相应的规定办法，督促和帮助企业完善管理，提高企业腐蚀控制工程的质量保证能力和安全保障能力。</w:t>
      </w:r>
    </w:p>
    <w:p w14:paraId="663D2C61">
      <w:pPr>
        <w:snapToGrid w:val="0"/>
        <w:spacing w:line="360" w:lineRule="auto"/>
        <w:rPr>
          <w:rFonts w:hint="eastAsia" w:ascii="宋体" w:hAnsi="宋体" w:eastAsia="宋体" w:cs="宋体"/>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w:t>
      </w:r>
      <w:r>
        <w:rPr>
          <w:rFonts w:hint="eastAsia" w:ascii="宋体" w:hAnsi="宋体" w:eastAsia="宋体" w:cs="宋体"/>
          <w:b/>
          <w:sz w:val="28"/>
          <w:szCs w:val="28"/>
        </w:rPr>
        <w:t>组织了 “2025年度第二批中国腐蚀控制技术协会科学技术奖”评比，共11项腐蚀控制领域的科技成果获奖。推荐三项腐蚀控制领域优秀专利参评2025年中国专利奖。</w:t>
      </w:r>
    </w:p>
    <w:p w14:paraId="3FEFEF50">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b/>
          <w:sz w:val="28"/>
          <w:szCs w:val="28"/>
        </w:rPr>
        <w:t>成功举办了协会常务理事、理事和专家委员会委员培训以及腐蚀控制标准化人员培训。通过提升参训人员对现代腐蚀熵增学的认识，明确了工作方向，增强了工作能力。</w:t>
      </w:r>
    </w:p>
    <w:p w14:paraId="56947469">
      <w:pPr>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b/>
          <w:sz w:val="28"/>
          <w:szCs w:val="28"/>
        </w:rPr>
        <w:t>协会的日常工作，包括协会会员证书制作发放、会刊《全面腐蚀控制》和《中国腐蚀控制工程信息》以及协会网站、公众号和信息中心等正常进行。</w:t>
      </w:r>
    </w:p>
    <w:p w14:paraId="6776919A">
      <w:pPr>
        <w:snapToGrid w:val="0"/>
        <w:spacing w:line="360" w:lineRule="auto"/>
        <w:jc w:val="left"/>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二、下一步的工作</w:t>
      </w:r>
    </w:p>
    <w:p w14:paraId="6579CF8D">
      <w:pPr>
        <w:snapToGrid w:val="0"/>
        <w:spacing w:line="348"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今年是十五五的开局之年，是实现中国梦的关键一年，协会将在习近平新时代中国特色社会主义思想的指导下，以现代腐蚀熵增理论的创新和完善以及腐蚀控制工程全生命周期标准的制修订为重点，积极履行政府赋予协会的各项职能，勇于担当、善于作为，为国家富强、</w:t>
      </w:r>
      <w:bookmarkStart w:id="8" w:name="OLE_LINK42"/>
      <w:bookmarkStart w:id="9" w:name="OLE_LINK43"/>
      <w:r>
        <w:rPr>
          <w:rFonts w:hint="eastAsia" w:ascii="宋体" w:hAnsi="宋体" w:eastAsia="宋体" w:cs="宋体"/>
          <w:b/>
          <w:bCs/>
          <w:sz w:val="28"/>
          <w:szCs w:val="28"/>
        </w:rPr>
        <w:t>民族复兴、人民</w:t>
      </w:r>
      <w:bookmarkEnd w:id="8"/>
      <w:bookmarkEnd w:id="9"/>
      <w:r>
        <w:rPr>
          <w:rFonts w:hint="eastAsia" w:ascii="宋体" w:hAnsi="宋体" w:eastAsia="宋体" w:cs="宋体"/>
          <w:b/>
          <w:bCs/>
          <w:sz w:val="28"/>
          <w:szCs w:val="28"/>
        </w:rPr>
        <w:t>幸福贡献专业力量。下一步主要工作如下：</w:t>
      </w:r>
    </w:p>
    <w:p w14:paraId="319AF7EE">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1、坚持和加强党对协会各项工作的全面领导，全面深入开展树立和践行正确政绩观学习教育，将开展学习教育作为坚定拥护“两个确立”、坚决做到“两个维护”的实际行动，锤炼党员干部的党性，强化协会职工的服务意识；</w:t>
      </w:r>
    </w:p>
    <w:p w14:paraId="613D6FB3">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2、规范理事会、常务理事会运行机制，健全内部管理制度，提升协会规范化管理水平；优化会员服务，扩大会员覆盖面，建立会员需求调研机制，增强会员归属感和向心力。</w:t>
      </w:r>
    </w:p>
    <w:p w14:paraId="4D479E83">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3、立足行业发展实际情况，贯彻落实十五五规划纲要，布局行业现代化产业体系建设，培育新质生产力，推动产业链智能化、绿色化、融合化升级，为顺利完成十五五规划目标开好局；</w:t>
      </w:r>
    </w:p>
    <w:p w14:paraId="50254E65">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4、做好第九次全国会员代表大会的筹备工作，圆满完成协会换届，确保新老负责人有序更替；</w:t>
      </w:r>
    </w:p>
    <w:p w14:paraId="4E0A808F">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5、持续推进对现代腐蚀熵增学的深入研究和应用，用理论创新支撑行业高水平科技自立自强，实现行业高质量发展，在中国特色社会主义新时代，引领中国腐蚀控制行业在新征程中行稳致远；</w:t>
      </w:r>
    </w:p>
    <w:p w14:paraId="26EFE042">
      <w:pPr>
        <w:snapToGrid w:val="0"/>
        <w:spacing w:line="348" w:lineRule="auto"/>
        <w:rPr>
          <w:rFonts w:hint="eastAsia" w:ascii="宋体" w:hAnsi="宋体" w:eastAsia="宋体" w:cs="宋体"/>
          <w:color w:val="000000"/>
          <w:sz w:val="28"/>
          <w:szCs w:val="28"/>
        </w:rPr>
      </w:pPr>
      <w:r>
        <w:rPr>
          <w:rFonts w:hint="eastAsia" w:ascii="宋体" w:hAnsi="宋体" w:eastAsia="宋体" w:cs="宋体"/>
          <w:b/>
          <w:bCs/>
          <w:sz w:val="28"/>
          <w:szCs w:val="28"/>
        </w:rPr>
        <w:t>6、完成好“ISO/TC156/SC1第十次国际会议”的组织和参会，加深与国际国内专家的交流沟通，争取国际国内支持，不断推进国际标准化工作</w:t>
      </w:r>
      <w:r>
        <w:rPr>
          <w:rFonts w:hint="eastAsia" w:ascii="宋体" w:hAnsi="宋体" w:eastAsia="宋体" w:cs="宋体"/>
          <w:color w:val="000000"/>
          <w:sz w:val="28"/>
          <w:szCs w:val="28"/>
        </w:rPr>
        <w:t>；</w:t>
      </w:r>
    </w:p>
    <w:p w14:paraId="2B4C65A5">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7</w:t>
      </w:r>
      <w:r>
        <w:rPr>
          <w:rFonts w:hint="eastAsia" w:ascii="宋体" w:hAnsi="宋体" w:eastAsia="宋体" w:cs="宋体"/>
          <w:color w:val="000000"/>
          <w:sz w:val="28"/>
          <w:szCs w:val="28"/>
        </w:rPr>
        <w:t>、</w:t>
      </w:r>
      <w:r>
        <w:rPr>
          <w:rFonts w:hint="eastAsia" w:ascii="宋体" w:hAnsi="宋体" w:eastAsia="宋体" w:cs="宋体"/>
          <w:b/>
          <w:bCs/>
          <w:sz w:val="28"/>
          <w:szCs w:val="28"/>
        </w:rPr>
        <w:t>做好腐蚀控制国家、社团标准的申请立项、组织起草、审查、报批等工作，以标准促腐蚀控制水平的提高；</w:t>
      </w:r>
    </w:p>
    <w:p w14:paraId="350CE353">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8、加快《现代腐蚀熵增学与文明智慧共演》出版，推动 “国际腐蚀博物馆”筹建，为系列国际标准的应用推广和产业发展提供理论支撑和重要平台。</w:t>
      </w:r>
    </w:p>
    <w:p w14:paraId="5E6E0F7C">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9、抓好业务培训工作，包括特种设备质保工程师、非金属压力容器设计审批人员、责任腐蚀控制工程师、腐蚀控制职业（项目）经理、安全员和腐蚀控制工的培训考核评价以及阴极保护专业人才能力和水平的培训认证工作。</w:t>
      </w:r>
    </w:p>
    <w:p w14:paraId="321FB1F2">
      <w:pPr>
        <w:snapToGrid w:val="0"/>
        <w:spacing w:line="348" w:lineRule="auto"/>
        <w:rPr>
          <w:rFonts w:hint="eastAsia" w:ascii="宋体" w:hAnsi="宋体" w:eastAsia="宋体" w:cs="宋体"/>
          <w:b/>
          <w:bCs/>
          <w:sz w:val="28"/>
          <w:szCs w:val="28"/>
        </w:rPr>
      </w:pPr>
      <w:r>
        <w:rPr>
          <w:rFonts w:hint="eastAsia" w:ascii="宋体" w:hAnsi="宋体" w:eastAsia="宋体" w:cs="宋体"/>
          <w:b/>
          <w:bCs/>
          <w:sz w:val="28"/>
          <w:szCs w:val="28"/>
        </w:rPr>
        <w:t>10、做好2026年中国腐蚀控制技术协会科学技术奖的评选、中国专利奖的推荐以及行业信息统计工作。</w:t>
      </w:r>
    </w:p>
    <w:p w14:paraId="08377802">
      <w:pPr>
        <w:snapToGrid w:val="0"/>
        <w:spacing w:line="348" w:lineRule="auto"/>
        <w:rPr>
          <w:rFonts w:hint="eastAsia" w:ascii="宋体" w:hAnsi="宋体" w:eastAsia="宋体" w:cs="宋体"/>
          <w:b/>
          <w:bCs/>
          <w:sz w:val="28"/>
          <w:szCs w:val="28"/>
        </w:rPr>
      </w:pPr>
    </w:p>
    <w:p w14:paraId="09FFDB18">
      <w:pPr>
        <w:snapToGrid w:val="0"/>
        <w:spacing w:line="348" w:lineRule="auto"/>
        <w:rPr>
          <w:rFonts w:hint="eastAsia" w:ascii="宋体" w:hAnsi="宋体" w:eastAsia="宋体" w:cs="宋体"/>
          <w:b/>
          <w:bCs/>
          <w:sz w:val="28"/>
          <w:szCs w:val="28"/>
        </w:rPr>
      </w:pPr>
    </w:p>
    <w:p w14:paraId="6F6DDF3C">
      <w:pPr>
        <w:snapToGrid w:val="0"/>
        <w:spacing w:line="348" w:lineRule="auto"/>
        <w:rPr>
          <w:rFonts w:hint="eastAsia" w:ascii="宋体" w:hAnsi="宋体" w:eastAsia="宋体" w:cs="宋体"/>
          <w:b/>
          <w:bCs/>
          <w:sz w:val="28"/>
          <w:szCs w:val="28"/>
        </w:rPr>
      </w:pPr>
    </w:p>
    <w:p w14:paraId="7DE57CA4">
      <w:pPr>
        <w:snapToGrid w:val="0"/>
        <w:spacing w:line="348" w:lineRule="auto"/>
        <w:ind w:firstLine="5313" w:firstLineChars="1890"/>
        <w:rPr>
          <w:rFonts w:hint="eastAsia" w:ascii="宋体" w:hAnsi="宋体" w:eastAsia="宋体" w:cs="宋体"/>
          <w:b/>
          <w:color w:val="000000"/>
          <w:sz w:val="28"/>
          <w:szCs w:val="28"/>
        </w:rPr>
      </w:pPr>
      <w:r>
        <w:rPr>
          <w:rFonts w:hint="eastAsia" w:ascii="宋体" w:hAnsi="宋体" w:eastAsia="宋体" w:cs="宋体"/>
          <w:b/>
          <w:color w:val="000000"/>
          <w:sz w:val="28"/>
          <w:szCs w:val="28"/>
        </w:rPr>
        <w:t>2026年4月14日</w:t>
      </w:r>
    </w:p>
    <w:p w14:paraId="2080F82B">
      <w:pPr>
        <w:snapToGrid w:val="0"/>
        <w:spacing w:line="348"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u w:val="single"/>
        </w:rPr>
        <w:t xml:space="preserve">                                                           </w:t>
      </w:r>
    </w:p>
    <w:p w14:paraId="40EABA56">
      <w:pPr>
        <w:snapToGrid w:val="0"/>
        <w:spacing w:line="348"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抄报：中共中国腐蚀控制及技术协会党支部委员会，中国腐蚀控制技术协会监事会</w:t>
      </w:r>
    </w:p>
    <w:p w14:paraId="74A7FD92">
      <w:pPr>
        <w:snapToGrid w:val="0"/>
        <w:rPr>
          <w:rFonts w:hint="eastAsia" w:ascii="楷体" w:hAnsi="楷体" w:eastAsia="楷体"/>
          <w:b/>
          <w:sz w:val="24"/>
          <w:szCs w:val="24"/>
        </w:rPr>
      </w:pPr>
    </w:p>
    <w:p w14:paraId="66466F33">
      <w:pPr>
        <w:rPr>
          <w:rFonts w:hint="default" w:ascii="宋体" w:hAnsi="宋体"/>
          <w:b/>
          <w:sz w:val="36"/>
          <w:szCs w:val="36"/>
          <w:lang w:val="en-US"/>
        </w:rPr>
      </w:pPr>
      <w:r>
        <w:rPr>
          <w:rFonts w:ascii="黑体" w:hAnsi="黑体" w:eastAsia="黑体"/>
          <w:b/>
          <w:bCs/>
          <w:sz w:val="32"/>
          <w:szCs w:val="32"/>
        </w:rPr>
        <w:br w:type="page"/>
      </w:r>
      <w:r>
        <w:rPr>
          <w:rFonts w:hint="eastAsia" w:ascii="宋体" w:hAnsi="宋体" w:eastAsia="宋体" w:cs="宋体"/>
          <w:b w:val="0"/>
          <w:bCs/>
          <w:sz w:val="30"/>
          <w:szCs w:val="30"/>
          <w:lang w:val="en-US" w:eastAsia="zh-CN"/>
        </w:rPr>
        <w:t>附件</w:t>
      </w:r>
      <w:r>
        <w:rPr>
          <w:rFonts w:hint="eastAsia" w:ascii="宋体" w:hAnsi="宋体" w:cs="宋体"/>
          <w:b w:val="0"/>
          <w:bCs/>
          <w:sz w:val="30"/>
          <w:szCs w:val="30"/>
          <w:lang w:val="en-US" w:eastAsia="zh-CN"/>
        </w:rPr>
        <w:t>1-1</w:t>
      </w:r>
    </w:p>
    <w:p w14:paraId="348EFD77">
      <w:pPr>
        <w:jc w:val="center"/>
        <w:rPr>
          <w:rFonts w:hint="eastAsia" w:ascii="宋体" w:hAnsi="宋体"/>
          <w:b/>
          <w:sz w:val="36"/>
          <w:szCs w:val="36"/>
        </w:rPr>
      </w:pPr>
    </w:p>
    <w:p w14:paraId="5CE20268">
      <w:pPr>
        <w:jc w:val="center"/>
        <w:rPr>
          <w:rFonts w:hint="eastAsia" w:ascii="宋体" w:hAnsi="宋体"/>
          <w:b/>
          <w:sz w:val="36"/>
          <w:szCs w:val="36"/>
        </w:rPr>
      </w:pPr>
    </w:p>
    <w:p w14:paraId="03320F58">
      <w:pPr>
        <w:jc w:val="center"/>
        <w:rPr>
          <w:rFonts w:hint="eastAsia" w:ascii="宋体" w:hAnsi="宋体"/>
          <w:b/>
          <w:sz w:val="52"/>
          <w:szCs w:val="52"/>
        </w:rPr>
      </w:pPr>
      <w:r>
        <w:rPr>
          <w:rFonts w:hint="eastAsia" w:ascii="宋体" w:hAnsi="宋体"/>
          <w:b/>
          <w:sz w:val="52"/>
          <w:szCs w:val="52"/>
        </w:rPr>
        <w:t>中国腐蚀控制技术协会</w:t>
      </w:r>
    </w:p>
    <w:p w14:paraId="2F6C9E7F">
      <w:pPr>
        <w:jc w:val="center"/>
        <w:rPr>
          <w:rFonts w:hint="eastAsia" w:ascii="宋体" w:hAnsi="宋体"/>
          <w:b/>
          <w:sz w:val="52"/>
          <w:szCs w:val="52"/>
        </w:rPr>
      </w:pPr>
      <w:r>
        <w:rPr>
          <w:rFonts w:hint="eastAsia" w:ascii="宋体" w:hAnsi="宋体"/>
          <w:b/>
          <w:sz w:val="52"/>
          <w:szCs w:val="52"/>
        </w:rPr>
        <w:t>财务决算报告</w:t>
      </w:r>
    </w:p>
    <w:p w14:paraId="24088C45">
      <w:pPr>
        <w:rPr>
          <w:rFonts w:hint="eastAsia" w:ascii="宋体" w:hAnsi="宋体"/>
          <w:b/>
          <w:sz w:val="52"/>
          <w:szCs w:val="52"/>
        </w:rPr>
      </w:pPr>
    </w:p>
    <w:p w14:paraId="2FB3B930">
      <w:pPr>
        <w:jc w:val="center"/>
        <w:rPr>
          <w:rFonts w:hint="eastAsia" w:ascii="宋体" w:hAnsi="宋体"/>
          <w:b/>
          <w:sz w:val="52"/>
          <w:szCs w:val="52"/>
        </w:rPr>
      </w:pPr>
      <w:r>
        <w:rPr>
          <w:rFonts w:hint="eastAsia" w:ascii="宋体" w:hAnsi="宋体"/>
          <w:b/>
          <w:sz w:val="52"/>
          <w:szCs w:val="52"/>
        </w:rPr>
        <w:t>2025年度</w:t>
      </w:r>
    </w:p>
    <w:p w14:paraId="47641922">
      <w:pPr>
        <w:jc w:val="center"/>
        <w:rPr>
          <w:rFonts w:hint="eastAsia" w:ascii="宋体" w:hAnsi="宋体"/>
          <w:b/>
          <w:sz w:val="36"/>
          <w:szCs w:val="36"/>
        </w:rPr>
      </w:pPr>
    </w:p>
    <w:p w14:paraId="0B2F39E6">
      <w:pPr>
        <w:rPr>
          <w:rFonts w:hint="eastAsia" w:ascii="宋体" w:hAnsi="宋体"/>
          <w:b/>
          <w:sz w:val="36"/>
          <w:szCs w:val="36"/>
        </w:rPr>
      </w:pPr>
    </w:p>
    <w:p w14:paraId="3200EBCB">
      <w:pPr>
        <w:jc w:val="center"/>
        <w:rPr>
          <w:rFonts w:hint="eastAsia" w:ascii="宋体" w:hAnsi="宋体"/>
          <w:b/>
          <w:sz w:val="36"/>
          <w:szCs w:val="36"/>
        </w:rPr>
      </w:pPr>
    </w:p>
    <w:p w14:paraId="616262A4">
      <w:pPr>
        <w:jc w:val="center"/>
        <w:rPr>
          <w:rFonts w:hint="eastAsia" w:ascii="宋体" w:hAnsi="宋体"/>
          <w:b/>
          <w:sz w:val="36"/>
          <w:szCs w:val="36"/>
        </w:rPr>
      </w:pPr>
    </w:p>
    <w:p w14:paraId="2B264159">
      <w:pPr>
        <w:jc w:val="center"/>
        <w:rPr>
          <w:rFonts w:hint="eastAsia" w:ascii="宋体" w:hAnsi="宋体"/>
          <w:b/>
          <w:sz w:val="36"/>
          <w:szCs w:val="36"/>
        </w:rPr>
      </w:pPr>
    </w:p>
    <w:p w14:paraId="0FB305F1">
      <w:pPr>
        <w:jc w:val="center"/>
        <w:rPr>
          <w:rFonts w:hint="eastAsia" w:ascii="宋体" w:hAnsi="宋体"/>
          <w:b/>
          <w:sz w:val="36"/>
          <w:szCs w:val="36"/>
        </w:rPr>
      </w:pPr>
    </w:p>
    <w:p w14:paraId="17C131F6">
      <w:pPr>
        <w:jc w:val="center"/>
        <w:rPr>
          <w:rFonts w:hint="eastAsia" w:ascii="宋体" w:hAnsi="宋体"/>
          <w:b/>
          <w:sz w:val="36"/>
          <w:szCs w:val="36"/>
        </w:rPr>
      </w:pPr>
    </w:p>
    <w:p w14:paraId="3D8813DE">
      <w:pPr>
        <w:ind w:firstLine="2891" w:firstLineChars="800"/>
        <w:rPr>
          <w:rFonts w:hint="eastAsia" w:ascii="宋体" w:hAnsi="宋体"/>
          <w:b/>
          <w:sz w:val="36"/>
          <w:szCs w:val="36"/>
        </w:rPr>
      </w:pPr>
      <w:r>
        <w:rPr>
          <w:rFonts w:hint="eastAsia" w:ascii="宋体" w:hAnsi="宋体"/>
          <w:b/>
          <w:sz w:val="36"/>
          <w:szCs w:val="36"/>
        </w:rPr>
        <w:t>审批：</w:t>
      </w:r>
    </w:p>
    <w:p w14:paraId="4F6B0D97">
      <w:pPr>
        <w:ind w:firstLine="2530" w:firstLineChars="700"/>
        <w:rPr>
          <w:rFonts w:hint="eastAsia" w:ascii="宋体" w:hAnsi="宋体"/>
          <w:b/>
          <w:sz w:val="36"/>
          <w:szCs w:val="36"/>
        </w:rPr>
      </w:pPr>
    </w:p>
    <w:p w14:paraId="31CAEB83">
      <w:pPr>
        <w:ind w:firstLine="2891" w:firstLineChars="800"/>
        <w:rPr>
          <w:rFonts w:hint="eastAsia" w:ascii="宋体" w:hAnsi="宋体"/>
          <w:b/>
          <w:sz w:val="36"/>
          <w:szCs w:val="36"/>
        </w:rPr>
      </w:pPr>
      <w:r>
        <w:rPr>
          <w:rFonts w:hint="eastAsia" w:ascii="宋体" w:hAnsi="宋体"/>
          <w:b/>
          <w:sz w:val="36"/>
          <w:szCs w:val="36"/>
        </w:rPr>
        <w:t>复核：</w:t>
      </w:r>
    </w:p>
    <w:p w14:paraId="2B0A27E2">
      <w:pPr>
        <w:ind w:firstLine="2530" w:firstLineChars="700"/>
        <w:rPr>
          <w:rFonts w:hint="eastAsia" w:ascii="宋体" w:hAnsi="宋体"/>
          <w:b/>
          <w:sz w:val="36"/>
          <w:szCs w:val="36"/>
        </w:rPr>
      </w:pPr>
    </w:p>
    <w:p w14:paraId="6A042DA9">
      <w:pPr>
        <w:widowControl/>
        <w:jc w:val="left"/>
        <w:rPr>
          <w:rFonts w:ascii="宋体" w:hAnsi="宋体"/>
          <w:b/>
          <w:sz w:val="36"/>
          <w:szCs w:val="36"/>
        </w:rPr>
        <w:sectPr>
          <w:pgSz w:w="11906" w:h="16838"/>
          <w:pgMar w:top="1440" w:right="1080" w:bottom="1440" w:left="1080" w:header="851" w:footer="992" w:gutter="0"/>
          <w:cols w:space="720" w:num="1"/>
          <w:docGrid w:type="lines" w:linePitch="312" w:charSpace="0"/>
        </w:sectPr>
      </w:pPr>
    </w:p>
    <w:p w14:paraId="756F9098">
      <w:pPr>
        <w:jc w:val="center"/>
        <w:rPr>
          <w:rFonts w:hint="eastAsia" w:ascii="宋体" w:hAnsi="宋体"/>
          <w:b/>
          <w:sz w:val="36"/>
          <w:szCs w:val="36"/>
        </w:rPr>
      </w:pPr>
      <w:r>
        <w:rPr>
          <w:rFonts w:hint="eastAsia" w:ascii="宋体" w:hAnsi="宋体"/>
          <w:b/>
          <w:sz w:val="36"/>
          <w:szCs w:val="36"/>
        </w:rPr>
        <w:t>中国腐蚀控制技术协会</w:t>
      </w:r>
    </w:p>
    <w:p w14:paraId="53E51AF1">
      <w:pPr>
        <w:jc w:val="center"/>
        <w:rPr>
          <w:rFonts w:hint="eastAsia" w:ascii="宋体" w:hAnsi="宋体"/>
          <w:b/>
          <w:sz w:val="28"/>
          <w:szCs w:val="28"/>
        </w:rPr>
      </w:pPr>
      <w:r>
        <w:rPr>
          <w:rFonts w:hint="eastAsia" w:ascii="宋体" w:hAnsi="宋体"/>
          <w:b/>
          <w:sz w:val="36"/>
          <w:szCs w:val="36"/>
        </w:rPr>
        <w:t>2025年度财务情况决算报告</w:t>
      </w:r>
    </w:p>
    <w:p w14:paraId="28B8C267">
      <w:pPr>
        <w:jc w:val="center"/>
        <w:rPr>
          <w:rFonts w:hint="eastAsia" w:ascii="宋体" w:hAnsi="宋体"/>
          <w:b/>
          <w:sz w:val="28"/>
          <w:szCs w:val="28"/>
        </w:rPr>
      </w:pPr>
    </w:p>
    <w:p w14:paraId="4ABFA84C">
      <w:pPr>
        <w:jc w:val="left"/>
        <w:rPr>
          <w:rFonts w:hint="eastAsia" w:ascii="宋体" w:hAnsi="宋体"/>
          <w:sz w:val="28"/>
          <w:szCs w:val="28"/>
        </w:rPr>
      </w:pPr>
      <w:r>
        <w:rPr>
          <w:rFonts w:hint="eastAsia" w:ascii="宋体" w:hAnsi="宋体"/>
          <w:sz w:val="28"/>
          <w:szCs w:val="28"/>
        </w:rPr>
        <w:t xml:space="preserve">    中国腐蚀控制技术协会（以下简称“本协会”）于1985年7月25日获批成立，协会为民间非营利组织，至2025年12月31日协会注册资金10万元，统一社会信用代码：51100000500006759B，法定代表人李济克，住所为北京市朝阳区小营路9号C座509号。业务范围：行业自律，技术交流，书刊编辑，业务培训，专业展览，咨询服务。</w:t>
      </w:r>
    </w:p>
    <w:p w14:paraId="4C01C736">
      <w:pPr>
        <w:spacing w:line="360" w:lineRule="auto"/>
        <w:ind w:firstLine="560" w:firstLineChars="200"/>
        <w:jc w:val="left"/>
        <w:rPr>
          <w:rFonts w:hint="eastAsia" w:ascii="宋体" w:hAnsi="宋体"/>
          <w:sz w:val="28"/>
          <w:szCs w:val="28"/>
        </w:rPr>
      </w:pPr>
      <w:r>
        <w:rPr>
          <w:rFonts w:hint="eastAsia" w:ascii="宋体" w:hAnsi="宋体"/>
          <w:sz w:val="28"/>
          <w:szCs w:val="28"/>
        </w:rPr>
        <w:t>2025年度，协会财务工作在领导的正确引领下，依靠全体工作人员共同努力，以求真务实的工作作风，严格遵守《社会团体登记管理条例》和《民间非营利组织会计制度》，为协会管理和会员单位的发展提供了优质的服务，较好地完成了各项财务工作任务，现将协会2025年度财务情况汇报如下：</w:t>
      </w:r>
    </w:p>
    <w:p w14:paraId="7A5D943B">
      <w:pPr>
        <w:spacing w:line="360" w:lineRule="auto"/>
        <w:ind w:firstLine="562" w:firstLineChars="200"/>
        <w:jc w:val="left"/>
        <w:rPr>
          <w:rFonts w:hint="eastAsia" w:ascii="宋体" w:hAnsi="宋体"/>
          <w:b/>
          <w:sz w:val="28"/>
          <w:szCs w:val="28"/>
        </w:rPr>
      </w:pPr>
      <w:bookmarkStart w:id="10" w:name="OLE_LINK5"/>
      <w:r>
        <w:rPr>
          <w:rFonts w:hint="eastAsia" w:ascii="宋体" w:hAnsi="宋体"/>
          <w:b/>
          <w:sz w:val="28"/>
          <w:szCs w:val="28"/>
        </w:rPr>
        <w:t>一、财务基本情况</w:t>
      </w:r>
    </w:p>
    <w:p w14:paraId="0E104CBD">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（一）资产情况</w:t>
      </w:r>
    </w:p>
    <w:p w14:paraId="71FEF0B8">
      <w:pPr>
        <w:spacing w:line="360" w:lineRule="auto"/>
        <w:ind w:firstLine="560" w:firstLineChars="200"/>
        <w:rPr>
          <w:rFonts w:hint="eastAsia" w:ascii="宋体" w:hAnsi="宋体"/>
          <w:sz w:val="28"/>
          <w:szCs w:val="28"/>
        </w:rPr>
      </w:pPr>
      <w:r>
        <w:rPr>
          <w:rFonts w:hint="eastAsia"/>
          <w:sz w:val="28"/>
          <w:szCs w:val="28"/>
        </w:rPr>
        <w:t>截止</w:t>
      </w:r>
      <w:r>
        <w:rPr>
          <w:sz w:val="28"/>
          <w:szCs w:val="28"/>
        </w:rPr>
        <w:t>2025</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日止，本协会：资产总额为：</w:t>
      </w:r>
      <w:r>
        <w:rPr>
          <w:rFonts w:hint="eastAsia" w:ascii="宋体" w:hAnsi="宋体" w:cs="宋体"/>
          <w:sz w:val="28"/>
          <w:szCs w:val="28"/>
        </w:rPr>
        <w:t>49,733,202.09 元，较上一年增加16.50%，比预算下降了0.53%。其中：货币资金981,602.35 元，较上一年减少63.81%，比预算下降了1.84%；应收款项1,485,387.20 元，较上一年增加187.74%，比预算下降了0.97%；短期投资</w:t>
      </w:r>
      <w:r>
        <w:rPr>
          <w:rFonts w:hint="eastAsia" w:ascii="宋体" w:hAnsi="宋体"/>
          <w:sz w:val="28"/>
          <w:szCs w:val="28"/>
        </w:rPr>
        <w:t>46,430,600.00</w:t>
      </w:r>
      <w:r>
        <w:rPr>
          <w:rFonts w:hint="eastAsia" w:ascii="宋体" w:hAnsi="宋体" w:cs="宋体"/>
          <w:sz w:val="28"/>
          <w:szCs w:val="28"/>
        </w:rPr>
        <w:t>元 ，较上年增</w:t>
      </w:r>
      <w:r>
        <w:rPr>
          <w:rFonts w:hint="eastAsia" w:ascii="宋体" w:hAnsi="宋体"/>
          <w:sz w:val="28"/>
          <w:szCs w:val="28"/>
        </w:rPr>
        <w:t>加20.60%，与预算相符；长期股权投资500,000.00 元，较上年无变化，与预算相符；固定资产原值4,924,890.06 元，累计折旧4,589,277.52 元，固定资产净值335,612.54 元, 较上一年减少27.18%，比预算下降了6.77%。</w:t>
      </w:r>
    </w:p>
    <w:p w14:paraId="7939C72E">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（二）负债情况</w:t>
      </w:r>
    </w:p>
    <w:p w14:paraId="416926AC">
      <w:pPr>
        <w:spacing w:line="360" w:lineRule="auto"/>
        <w:ind w:firstLine="560" w:firstLineChars="200"/>
        <w:rPr>
          <w:rFonts w:hint="eastAsia" w:ascii="宋体" w:hAnsi="宋体"/>
          <w:sz w:val="28"/>
          <w:szCs w:val="28"/>
        </w:rPr>
      </w:pPr>
      <w:r>
        <w:rPr>
          <w:rFonts w:hint="eastAsia" w:ascii="宋体" w:hAnsi="宋体"/>
          <w:sz w:val="28"/>
          <w:szCs w:val="28"/>
        </w:rPr>
        <w:t>截至2025年12月31日，协会负债总额为2,099,893.54 元，全部为流动负债，较上一年增加18.84%</w:t>
      </w:r>
      <w:r>
        <w:rPr>
          <w:rFonts w:hint="eastAsia" w:ascii="宋体"/>
          <w:sz w:val="28"/>
          <w:szCs w:val="28"/>
        </w:rPr>
        <w:t>，</w:t>
      </w:r>
      <w:r>
        <w:rPr>
          <w:rFonts w:hint="eastAsia" w:ascii="宋体" w:hAnsi="宋体"/>
          <w:sz w:val="28"/>
          <w:szCs w:val="28"/>
        </w:rPr>
        <w:t>比预算下降了0.01%。其中：应付款项112,517.54 元，较上一年增加22.28%，比预算下降了6.24%；应交税金1,987,376.00 元，较上一年增加18.65%，比预算下降了0.63%。</w:t>
      </w:r>
    </w:p>
    <w:p w14:paraId="111DEC88">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（三）净资产情况</w:t>
      </w:r>
    </w:p>
    <w:p w14:paraId="6B19523C">
      <w:pPr>
        <w:pStyle w:val="5"/>
        <w:spacing w:line="360" w:lineRule="auto"/>
        <w:ind w:firstLine="560"/>
        <w:rPr>
          <w:rFonts w:hint="eastAsia" w:cs="Times New Roman"/>
          <w:sz w:val="28"/>
          <w:szCs w:val="28"/>
        </w:rPr>
      </w:pPr>
      <w:r>
        <w:rPr>
          <w:rFonts w:hint="eastAsia"/>
          <w:sz w:val="28"/>
          <w:szCs w:val="28"/>
        </w:rPr>
        <w:t>截至2025年12月31日，协会净资产总额47,633,308.55 元，较上一年增加16.40%，比预算下降了0.56%，其中：限定性净资产0.00元，非限定性净资产47,633,308.55 元。</w:t>
      </w:r>
    </w:p>
    <w:p w14:paraId="3997413D">
      <w:pPr>
        <w:pStyle w:val="5"/>
        <w:spacing w:line="360" w:lineRule="auto"/>
        <w:ind w:firstLine="562"/>
        <w:rPr>
          <w:rFonts w:hint="eastAsia"/>
          <w:b/>
          <w:sz w:val="28"/>
          <w:szCs w:val="28"/>
        </w:rPr>
      </w:pPr>
      <w:r>
        <w:rPr>
          <w:rFonts w:hint="eastAsia"/>
          <w:b/>
          <w:sz w:val="28"/>
          <w:szCs w:val="28"/>
        </w:rPr>
        <w:t xml:space="preserve">二、收入情况 </w:t>
      </w:r>
    </w:p>
    <w:p w14:paraId="65015AC9">
      <w:pPr>
        <w:spacing w:line="360" w:lineRule="auto"/>
        <w:ind w:firstLine="560" w:firstLineChars="200"/>
        <w:rPr>
          <w:rFonts w:hint="eastAsia" w:ascii="宋体" w:hAnsi="宋体" w:cs="宋体"/>
          <w:sz w:val="28"/>
          <w:szCs w:val="28"/>
        </w:rPr>
      </w:pPr>
      <w:r>
        <w:rPr>
          <w:rFonts w:hint="eastAsia" w:ascii="宋体" w:hAnsi="宋体" w:cs="宋体"/>
          <w:sz w:val="28"/>
          <w:szCs w:val="28"/>
        </w:rPr>
        <w:t>2025年度，协</w:t>
      </w:r>
      <w:r>
        <w:rPr>
          <w:rFonts w:hint="eastAsia" w:hAnsi="宋体"/>
          <w:sz w:val="28"/>
          <w:szCs w:val="28"/>
        </w:rPr>
        <w:t>会收入共计</w:t>
      </w:r>
      <w:r>
        <w:rPr>
          <w:rFonts w:hint="eastAsia" w:ascii="宋体" w:hAnsi="宋体" w:cs="宋体"/>
          <w:sz w:val="28"/>
          <w:szCs w:val="28"/>
        </w:rPr>
        <w:t>16,742,780.08</w:t>
      </w:r>
      <w:r>
        <w:rPr>
          <w:rFonts w:hAnsi="宋体"/>
          <w:sz w:val="28"/>
          <w:szCs w:val="28"/>
        </w:rPr>
        <w:t xml:space="preserve"> </w:t>
      </w:r>
      <w:r>
        <w:rPr>
          <w:rFonts w:hint="eastAsia" w:hAnsi="宋体"/>
          <w:sz w:val="28"/>
          <w:szCs w:val="28"/>
        </w:rPr>
        <w:t>元，较上年增加</w:t>
      </w:r>
      <w:r>
        <w:rPr>
          <w:rFonts w:hAnsi="宋体"/>
          <w:sz w:val="28"/>
          <w:szCs w:val="28"/>
        </w:rPr>
        <w:t>1</w:t>
      </w:r>
      <w:r>
        <w:rPr>
          <w:rFonts w:hint="eastAsia" w:ascii="宋体" w:hAnsi="宋体" w:cs="宋体"/>
          <w:sz w:val="28"/>
          <w:szCs w:val="28"/>
        </w:rPr>
        <w:t>1.99%。比预算下降了1.51%。</w:t>
      </w:r>
      <w:r>
        <w:fldChar w:fldCharType="begin"/>
      </w:r>
      <w:r>
        <w:rPr>
          <w:rFonts w:hint="eastAsia" w:ascii="宋体" w:hAnsi="宋体" w:cs="宋体"/>
          <w:sz w:val="28"/>
          <w:szCs w:val="28"/>
        </w:rPr>
        <w:instrText xml:space="preserve"> LINK Excel.Sheet.12 "F:\\财务分析报告2017\\2017年钢结构协会部门利润分割表.xlsx" "Sheet1!R120C1:R141C7" \a \f 4 \h  \* MERGEFORMAT </w:instrText>
      </w:r>
      <w:r>
        <w:fldChar w:fldCharType="separate"/>
      </w:r>
    </w:p>
    <w:p w14:paraId="49612869">
      <w:pPr>
        <w:spacing w:line="360" w:lineRule="auto"/>
        <w:ind w:firstLine="420" w:firstLineChars="200"/>
        <w:rPr>
          <w:rFonts w:hint="eastAsia" w:ascii="楷体" w:hAnsi="楷体" w:eastAsia="楷体" w:cs="楷体"/>
          <w:b/>
          <w:bCs/>
          <w:sz w:val="28"/>
          <w:szCs w:val="28"/>
        </w:rPr>
      </w:pPr>
      <w:r>
        <w:fldChar w:fldCharType="end"/>
      </w:r>
      <w:r>
        <w:rPr>
          <w:rFonts w:hint="eastAsia" w:ascii="楷体" w:hAnsi="楷体" w:eastAsia="楷体" w:cs="楷体"/>
          <w:b/>
          <w:bCs/>
          <w:sz w:val="28"/>
          <w:szCs w:val="28"/>
        </w:rPr>
        <w:t>（一）会费收入</w:t>
      </w:r>
    </w:p>
    <w:p w14:paraId="37968907">
      <w:pPr>
        <w:pStyle w:val="5"/>
        <w:spacing w:line="360" w:lineRule="auto"/>
        <w:ind w:firstLine="560"/>
        <w:rPr>
          <w:rFonts w:hint="eastAsia" w:cs="Times New Roman"/>
          <w:sz w:val="28"/>
          <w:szCs w:val="28"/>
        </w:rPr>
      </w:pPr>
      <w:r>
        <w:rPr>
          <w:rFonts w:hint="eastAsia"/>
          <w:sz w:val="28"/>
          <w:szCs w:val="28"/>
        </w:rPr>
        <w:t>根据民政部关于社会团体会费收取的相关规定，协会于第八次会员大会审议通过会费标准,副会长单位会费50,000.00 元/年；常务理事单位会费10,000.00 元/年；理事单位会费5,000.00 元/年；普通会员单位会费3,000.00 元/年。2025年度协会会费收入为1,469,000.00 元，较上年减少13.59 %，比预算下降了2.07%。</w:t>
      </w:r>
    </w:p>
    <w:p w14:paraId="140003F8">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（二）提供服务收入</w:t>
      </w:r>
    </w:p>
    <w:p w14:paraId="1C91B9D6">
      <w:pPr>
        <w:spacing w:line="360" w:lineRule="auto"/>
        <w:rPr>
          <w:rFonts w:hint="eastAsia" w:ascii="宋体" w:hAnsi="宋体"/>
          <w:sz w:val="28"/>
          <w:szCs w:val="28"/>
        </w:rPr>
      </w:pPr>
      <w:r>
        <w:rPr>
          <w:rFonts w:hint="eastAsia" w:ascii="宋体" w:hAnsi="宋体"/>
          <w:sz w:val="28"/>
          <w:szCs w:val="28"/>
        </w:rPr>
        <w:t xml:space="preserve">     2025年度，协会提供服务收入共</w:t>
      </w:r>
      <w:r>
        <w:rPr>
          <w:rFonts w:hint="eastAsia" w:ascii="宋体" w:hAnsi="宋体" w:cs="宋体"/>
          <w:sz w:val="28"/>
          <w:szCs w:val="28"/>
        </w:rPr>
        <w:t>15,218,555.16</w:t>
      </w:r>
      <w:r>
        <w:rPr>
          <w:rFonts w:hint="eastAsia" w:ascii="宋体" w:hAnsi="宋体"/>
          <w:sz w:val="28"/>
          <w:szCs w:val="28"/>
        </w:rPr>
        <w:t xml:space="preserve">  元,较上年增加24.68%，比预算下降了1.82%。</w:t>
      </w:r>
    </w:p>
    <w:p w14:paraId="6D73AD13">
      <w:pPr>
        <w:numPr>
          <w:ilvl w:val="0"/>
          <w:numId w:val="1"/>
        </w:numPr>
        <w:spacing w:line="360" w:lineRule="auto"/>
        <w:rPr>
          <w:rFonts w:hint="eastAsia" w:ascii="楷体" w:hAnsi="楷体" w:eastAsia="楷体" w:cs="楷体"/>
          <w:b/>
          <w:bCs/>
          <w:sz w:val="28"/>
          <w:szCs w:val="28"/>
        </w:rPr>
      </w:pPr>
      <w:r>
        <w:rPr>
          <w:rFonts w:hint="eastAsia" w:ascii="楷体" w:hAnsi="楷体" w:eastAsia="楷体" w:cs="楷体"/>
          <w:b/>
          <w:bCs/>
          <w:sz w:val="28"/>
          <w:szCs w:val="28"/>
        </w:rPr>
        <w:t>商品销售收入</w:t>
      </w:r>
    </w:p>
    <w:p w14:paraId="4B943C01">
      <w:pPr>
        <w:spacing w:line="360" w:lineRule="auto"/>
        <w:ind w:firstLine="560" w:firstLineChars="200"/>
        <w:rPr>
          <w:rFonts w:hint="eastAsia" w:ascii="宋体" w:hAnsi="宋体"/>
          <w:sz w:val="28"/>
          <w:szCs w:val="28"/>
        </w:rPr>
      </w:pPr>
      <w:r>
        <w:rPr>
          <w:rFonts w:hint="eastAsia" w:ascii="宋体" w:hAnsi="宋体"/>
          <w:sz w:val="28"/>
          <w:szCs w:val="28"/>
        </w:rPr>
        <w:t>2025年度，协会销售商品收入</w:t>
      </w:r>
      <w:r>
        <w:rPr>
          <w:rFonts w:hint="eastAsia" w:ascii="宋体" w:hAnsi="宋体" w:cs="宋体"/>
          <w:sz w:val="28"/>
          <w:szCs w:val="28"/>
        </w:rPr>
        <w:t>7,460.84</w:t>
      </w:r>
      <w:r>
        <w:rPr>
          <w:rFonts w:hint="eastAsia" w:ascii="宋体" w:hAnsi="宋体"/>
          <w:sz w:val="28"/>
          <w:szCs w:val="28"/>
        </w:rPr>
        <w:t xml:space="preserve"> 元，</w:t>
      </w:r>
      <w:bookmarkStart w:id="11" w:name="OLE_LINK3"/>
      <w:r>
        <w:rPr>
          <w:rFonts w:hint="eastAsia" w:ascii="宋体" w:hAnsi="宋体"/>
          <w:sz w:val="28"/>
          <w:szCs w:val="28"/>
        </w:rPr>
        <w:t>较上年增加179.85%</w:t>
      </w:r>
      <w:bookmarkEnd w:id="11"/>
      <w:r>
        <w:rPr>
          <w:rFonts w:hint="eastAsia" w:ascii="宋体" w:hAnsi="宋体"/>
          <w:sz w:val="28"/>
          <w:szCs w:val="28"/>
        </w:rPr>
        <w:t>，比预算下降了6.74%。</w:t>
      </w:r>
    </w:p>
    <w:p w14:paraId="77E1BB60">
      <w:pPr>
        <w:numPr>
          <w:ilvl w:val="0"/>
          <w:numId w:val="1"/>
        </w:numPr>
        <w:spacing w:line="360" w:lineRule="auto"/>
        <w:rPr>
          <w:rFonts w:hint="eastAsia" w:ascii="楷体" w:hAnsi="楷体" w:eastAsia="楷体" w:cs="楷体"/>
          <w:b/>
          <w:bCs/>
          <w:sz w:val="28"/>
          <w:szCs w:val="28"/>
        </w:rPr>
      </w:pPr>
      <w:r>
        <w:rPr>
          <w:rFonts w:hint="eastAsia" w:ascii="楷体" w:hAnsi="楷体" w:eastAsia="楷体" w:cs="楷体"/>
          <w:b/>
          <w:bCs/>
          <w:sz w:val="28"/>
          <w:szCs w:val="28"/>
        </w:rPr>
        <w:t>投资收益</w:t>
      </w:r>
    </w:p>
    <w:p w14:paraId="51B1CACC">
      <w:pPr>
        <w:spacing w:line="360" w:lineRule="auto"/>
        <w:ind w:firstLine="560" w:firstLineChars="200"/>
        <w:rPr>
          <w:rFonts w:hint="eastAsia" w:ascii="宋体" w:hAnsi="宋体" w:cs="宋体"/>
          <w:b/>
          <w:bCs/>
          <w:sz w:val="28"/>
          <w:szCs w:val="28"/>
        </w:rPr>
      </w:pPr>
      <w:r>
        <w:rPr>
          <w:rFonts w:hint="eastAsia" w:ascii="宋体" w:hAnsi="宋体" w:cs="宋体"/>
          <w:sz w:val="28"/>
          <w:szCs w:val="28"/>
        </w:rPr>
        <w:t>2025年度，协会实现投资收益32,929.62 元，比预算提高了2.91%。此为协会在不影响正常业务活动、投资及风险可控的前提下，使用闲置自有资金购买的理财产品取得的利息回款收入。</w:t>
      </w:r>
    </w:p>
    <w:p w14:paraId="5E05A61E">
      <w:pPr>
        <w:numPr>
          <w:ilvl w:val="0"/>
          <w:numId w:val="1"/>
        </w:numPr>
        <w:spacing w:line="360" w:lineRule="auto"/>
        <w:rPr>
          <w:rFonts w:hint="eastAsia" w:ascii="楷体" w:hAnsi="楷体" w:eastAsia="楷体" w:cs="楷体"/>
          <w:b/>
          <w:bCs/>
          <w:sz w:val="28"/>
          <w:szCs w:val="28"/>
        </w:rPr>
      </w:pPr>
      <w:r>
        <w:rPr>
          <w:rFonts w:hint="eastAsia" w:ascii="楷体" w:hAnsi="楷体" w:eastAsia="楷体" w:cs="楷体"/>
          <w:b/>
          <w:bCs/>
          <w:sz w:val="28"/>
          <w:szCs w:val="28"/>
        </w:rPr>
        <w:t>其他收入</w:t>
      </w:r>
    </w:p>
    <w:p w14:paraId="2CBE768B">
      <w:pPr>
        <w:spacing w:line="360" w:lineRule="auto"/>
        <w:rPr>
          <w:rFonts w:hint="eastAsia" w:ascii="Calibri" w:hAnsi="宋体"/>
          <w:sz w:val="28"/>
          <w:szCs w:val="28"/>
        </w:rPr>
      </w:pPr>
      <w:r>
        <w:rPr>
          <w:rFonts w:hint="eastAsia" w:ascii="宋体" w:hAnsi="宋体"/>
          <w:sz w:val="28"/>
          <w:szCs w:val="28"/>
        </w:rPr>
        <w:t xml:space="preserve">     2025年度，协会其他收入</w:t>
      </w:r>
      <w:r>
        <w:rPr>
          <w:rFonts w:hint="eastAsia" w:ascii="宋体" w:hAnsi="宋体" w:cs="宋体"/>
          <w:sz w:val="28"/>
          <w:szCs w:val="28"/>
        </w:rPr>
        <w:t>14,834.46</w:t>
      </w:r>
      <w:r>
        <w:rPr>
          <w:rFonts w:hint="eastAsia" w:ascii="宋体" w:hAnsi="宋体"/>
          <w:sz w:val="28"/>
          <w:szCs w:val="28"/>
        </w:rPr>
        <w:t xml:space="preserve"> 元，较上年增加3.23%，比预算下降了1.10%</w:t>
      </w:r>
      <w:bookmarkStart w:id="12" w:name="OLE_LINK4"/>
      <w:r>
        <w:rPr>
          <w:rFonts w:hint="eastAsia" w:hAnsi="宋体"/>
          <w:sz w:val="28"/>
          <w:szCs w:val="28"/>
        </w:rPr>
        <w:t>。</w:t>
      </w:r>
      <w:bookmarkEnd w:id="12"/>
    </w:p>
    <w:p w14:paraId="6F2FE627">
      <w:pPr>
        <w:pStyle w:val="5"/>
        <w:spacing w:line="360" w:lineRule="auto"/>
        <w:ind w:firstLine="562"/>
        <w:rPr>
          <w:b/>
          <w:sz w:val="28"/>
          <w:szCs w:val="28"/>
        </w:rPr>
      </w:pPr>
      <w:r>
        <w:rPr>
          <w:rFonts w:hint="eastAsia"/>
          <w:b/>
          <w:sz w:val="28"/>
          <w:szCs w:val="28"/>
        </w:rPr>
        <w:t>三、费用及净资产增加情况</w:t>
      </w:r>
    </w:p>
    <w:p w14:paraId="62B74867">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（一）费用支出情况</w:t>
      </w:r>
    </w:p>
    <w:p w14:paraId="076F0204">
      <w:pPr>
        <w:spacing w:line="360" w:lineRule="auto"/>
        <w:ind w:firstLine="560" w:firstLineChars="200"/>
        <w:rPr>
          <w:rFonts w:hint="eastAsia" w:ascii="宋体" w:hAnsi="Calibri"/>
          <w:sz w:val="28"/>
          <w:szCs w:val="28"/>
        </w:rPr>
      </w:pPr>
      <w:r>
        <w:rPr>
          <w:rFonts w:hint="eastAsia" w:ascii="宋体"/>
          <w:sz w:val="28"/>
          <w:szCs w:val="28"/>
        </w:rPr>
        <w:t>2025年度，协会费用支出为10,015,992.98 元，占全年收入的比重59.82%，较上年占比59.36%增加了0.46个百分点。</w:t>
      </w:r>
      <w:r>
        <w:rPr>
          <w:rFonts w:hint="eastAsia" w:ascii="宋体" w:hAnsi="宋体"/>
          <w:sz w:val="28"/>
          <w:szCs w:val="28"/>
        </w:rPr>
        <w:t>比预算下降了0.83%。</w:t>
      </w:r>
      <w:r>
        <w:rPr>
          <w:rFonts w:hint="eastAsia" w:ascii="宋体"/>
          <w:sz w:val="28"/>
          <w:szCs w:val="28"/>
        </w:rPr>
        <w:t>其中：2025年业务活动成本6,462,486.50 元，占全年收入的比重38.60 %，较上年占比38.88%减少了0.28个百分点，包含税金及附加100,305.72 元；管理费用1,559,679.44 元，占全年收入的比重9.32%，较上年占比8.91% 增加了0.41个百分点；其他费用1,993,827.04 元，较上年1,729,931.86 元，增加了15.25%，为按规定缴纳的企业所得税费用。</w:t>
      </w:r>
    </w:p>
    <w:p w14:paraId="253745B7">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（二）净资产增加情况</w:t>
      </w:r>
    </w:p>
    <w:p w14:paraId="2FA9BBCD">
      <w:pPr>
        <w:pStyle w:val="5"/>
        <w:spacing w:line="360" w:lineRule="auto"/>
        <w:ind w:firstLine="560"/>
        <w:rPr>
          <w:rFonts w:hint="eastAsia" w:hAnsi="Calibri" w:cs="Times New Roman"/>
          <w:sz w:val="28"/>
          <w:szCs w:val="28"/>
        </w:rPr>
      </w:pPr>
      <w:r>
        <w:rPr>
          <w:rFonts w:hint="eastAsia"/>
          <w:sz w:val="28"/>
          <w:szCs w:val="28"/>
        </w:rPr>
        <w:t>2025年度，协会净资产增加总额为6,726,787.10 元,占全年收入的比重40.18%,较上年6,075,735.35 元增加10.72％。比预算上升了0.40%。</w:t>
      </w:r>
    </w:p>
    <w:bookmarkEnd w:id="10"/>
    <w:p w14:paraId="1B07DEB5">
      <w:pPr>
        <w:pStyle w:val="5"/>
        <w:spacing w:line="360" w:lineRule="auto"/>
        <w:ind w:firstLine="560"/>
        <w:rPr>
          <w:rFonts w:hint="eastAsia"/>
          <w:sz w:val="28"/>
          <w:szCs w:val="28"/>
        </w:rPr>
      </w:pPr>
    </w:p>
    <w:p w14:paraId="3DDB5F5A">
      <w:pPr>
        <w:pStyle w:val="5"/>
        <w:spacing w:line="360" w:lineRule="auto"/>
        <w:ind w:firstLine="560"/>
        <w:rPr>
          <w:rFonts w:hint="eastAsia"/>
          <w:sz w:val="28"/>
          <w:szCs w:val="28"/>
        </w:rPr>
      </w:pPr>
      <w:r>
        <w:rPr>
          <w:rFonts w:hint="eastAsia"/>
          <w:sz w:val="28"/>
          <w:szCs w:val="28"/>
        </w:rPr>
        <w:t>综上所述，2025年度，协会资产总额有所增加，净资产和收入均比上年有所增长，费用支出控制良好，资产规模有所提升，实现了协会资产的保值增值。</w:t>
      </w:r>
    </w:p>
    <w:p w14:paraId="17CF64FA">
      <w:pPr>
        <w:pStyle w:val="5"/>
        <w:spacing w:line="360" w:lineRule="auto"/>
        <w:ind w:firstLine="560"/>
        <w:rPr>
          <w:rFonts w:hint="eastAsia"/>
          <w:sz w:val="28"/>
          <w:szCs w:val="28"/>
        </w:rPr>
      </w:pPr>
    </w:p>
    <w:p w14:paraId="4AC3922F">
      <w:pPr>
        <w:pStyle w:val="5"/>
        <w:spacing w:line="360" w:lineRule="auto"/>
        <w:ind w:firstLine="560"/>
        <w:jc w:val="right"/>
        <w:rPr>
          <w:rFonts w:hint="eastAsia"/>
          <w:sz w:val="28"/>
          <w:szCs w:val="28"/>
        </w:rPr>
      </w:pPr>
      <w:r>
        <w:rPr>
          <w:rFonts w:hint="eastAsia"/>
          <w:sz w:val="28"/>
          <w:szCs w:val="28"/>
        </w:rPr>
        <w:t>2026年1月15日</w:t>
      </w:r>
    </w:p>
    <w:p w14:paraId="67DF93A1">
      <w:pPr>
        <w:jc w:val="left"/>
        <w:rPr>
          <w:rFonts w:ascii="宋体" w:hAnsi="宋体"/>
          <w:b/>
          <w:color w:val="000000"/>
          <w:sz w:val="28"/>
          <w:szCs w:val="28"/>
        </w:rPr>
      </w:pPr>
      <w:r>
        <w:rPr>
          <w:rFonts w:ascii="宋体" w:hAnsi="宋体"/>
          <w:b/>
          <w:color w:val="000000"/>
          <w:sz w:val="28"/>
          <w:szCs w:val="28"/>
        </w:rPr>
        <w:br w:type="page"/>
      </w:r>
      <w:r>
        <w:rPr>
          <w:rFonts w:hint="eastAsia" w:ascii="宋体" w:hAnsi="宋体" w:eastAsia="宋体" w:cs="宋体"/>
          <w:b w:val="0"/>
          <w:bCs/>
          <w:sz w:val="30"/>
          <w:szCs w:val="30"/>
          <w:lang w:val="en-US" w:eastAsia="zh-CN"/>
        </w:rPr>
        <w:t>附件</w:t>
      </w:r>
      <w:r>
        <w:rPr>
          <w:rFonts w:hint="eastAsia" w:ascii="宋体" w:hAnsi="宋体" w:cs="宋体"/>
          <w:b w:val="0"/>
          <w:bCs/>
          <w:sz w:val="30"/>
          <w:szCs w:val="30"/>
          <w:lang w:val="en-US" w:eastAsia="zh-CN"/>
        </w:rPr>
        <w:t>1-2</w:t>
      </w:r>
    </w:p>
    <w:p w14:paraId="43BB5CBA">
      <w:pPr>
        <w:jc w:val="center"/>
        <w:rPr>
          <w:rFonts w:ascii="宋体" w:hAnsi="宋体"/>
          <w:b/>
          <w:sz w:val="52"/>
          <w:szCs w:val="52"/>
        </w:rPr>
      </w:pPr>
      <w:r>
        <w:rPr>
          <w:rFonts w:hint="eastAsia" w:ascii="宋体" w:hAnsi="宋体"/>
          <w:b/>
          <w:sz w:val="52"/>
          <w:szCs w:val="52"/>
        </w:rPr>
        <w:t>中国腐蚀控制技术协会</w:t>
      </w:r>
    </w:p>
    <w:p w14:paraId="0BACBD93">
      <w:pPr>
        <w:jc w:val="center"/>
        <w:rPr>
          <w:rFonts w:hint="eastAsia" w:ascii="宋体" w:hAnsi="宋体"/>
          <w:b/>
          <w:sz w:val="52"/>
          <w:szCs w:val="52"/>
        </w:rPr>
      </w:pPr>
      <w:r>
        <w:rPr>
          <w:rFonts w:hint="eastAsia" w:ascii="宋体" w:hAnsi="宋体"/>
          <w:b/>
          <w:sz w:val="52"/>
          <w:szCs w:val="52"/>
        </w:rPr>
        <w:t>财务预算报告</w:t>
      </w:r>
    </w:p>
    <w:p w14:paraId="5610D74F">
      <w:pPr>
        <w:rPr>
          <w:rFonts w:hint="eastAsia" w:ascii="宋体" w:hAnsi="宋体"/>
          <w:b/>
          <w:sz w:val="52"/>
          <w:szCs w:val="52"/>
        </w:rPr>
      </w:pPr>
    </w:p>
    <w:p w14:paraId="58031782">
      <w:pPr>
        <w:jc w:val="center"/>
        <w:rPr>
          <w:rFonts w:hint="eastAsia" w:ascii="宋体" w:hAnsi="宋体"/>
          <w:b/>
          <w:sz w:val="52"/>
          <w:szCs w:val="52"/>
        </w:rPr>
      </w:pPr>
      <w:r>
        <w:rPr>
          <w:rFonts w:hint="eastAsia" w:ascii="宋体" w:hAnsi="宋体"/>
          <w:b/>
          <w:sz w:val="52"/>
          <w:szCs w:val="52"/>
        </w:rPr>
        <w:t>2026年度</w:t>
      </w:r>
    </w:p>
    <w:p w14:paraId="2E372E34">
      <w:pPr>
        <w:jc w:val="center"/>
        <w:rPr>
          <w:rFonts w:hint="eastAsia" w:ascii="宋体" w:hAnsi="宋体"/>
          <w:b/>
          <w:sz w:val="36"/>
          <w:szCs w:val="36"/>
        </w:rPr>
      </w:pPr>
    </w:p>
    <w:p w14:paraId="45D8B8CE">
      <w:pPr>
        <w:rPr>
          <w:rFonts w:hint="eastAsia" w:ascii="宋体" w:hAnsi="宋体"/>
          <w:b/>
          <w:sz w:val="36"/>
          <w:szCs w:val="36"/>
        </w:rPr>
      </w:pPr>
    </w:p>
    <w:p w14:paraId="12483F57">
      <w:pPr>
        <w:jc w:val="center"/>
        <w:rPr>
          <w:rFonts w:hint="eastAsia" w:ascii="宋体" w:hAnsi="宋体"/>
          <w:b/>
          <w:sz w:val="36"/>
          <w:szCs w:val="36"/>
        </w:rPr>
      </w:pPr>
    </w:p>
    <w:p w14:paraId="7AE52E95">
      <w:pPr>
        <w:jc w:val="center"/>
        <w:rPr>
          <w:rFonts w:hint="eastAsia" w:ascii="宋体" w:hAnsi="宋体"/>
          <w:b/>
          <w:sz w:val="36"/>
          <w:szCs w:val="36"/>
        </w:rPr>
      </w:pPr>
    </w:p>
    <w:p w14:paraId="6BAAEEF5">
      <w:pPr>
        <w:jc w:val="center"/>
        <w:rPr>
          <w:rFonts w:hint="eastAsia" w:ascii="宋体" w:hAnsi="宋体"/>
          <w:b/>
          <w:sz w:val="36"/>
          <w:szCs w:val="36"/>
        </w:rPr>
      </w:pPr>
    </w:p>
    <w:p w14:paraId="3A227EEA">
      <w:pPr>
        <w:jc w:val="center"/>
        <w:rPr>
          <w:rFonts w:hint="eastAsia" w:ascii="宋体" w:hAnsi="宋体"/>
          <w:b/>
          <w:sz w:val="36"/>
          <w:szCs w:val="36"/>
        </w:rPr>
      </w:pPr>
    </w:p>
    <w:p w14:paraId="2252D2A4">
      <w:pPr>
        <w:jc w:val="center"/>
        <w:rPr>
          <w:rFonts w:hint="eastAsia" w:ascii="宋体" w:hAnsi="宋体"/>
          <w:b/>
          <w:sz w:val="36"/>
          <w:szCs w:val="36"/>
        </w:rPr>
      </w:pPr>
    </w:p>
    <w:p w14:paraId="49B10421">
      <w:pPr>
        <w:ind w:firstLine="2891" w:firstLineChars="800"/>
        <w:rPr>
          <w:rFonts w:hint="eastAsia" w:ascii="宋体" w:hAnsi="宋体"/>
          <w:b/>
          <w:sz w:val="36"/>
          <w:szCs w:val="36"/>
        </w:rPr>
      </w:pPr>
      <w:r>
        <w:rPr>
          <w:rFonts w:hint="eastAsia" w:ascii="宋体" w:hAnsi="宋体"/>
          <w:b/>
          <w:sz w:val="36"/>
          <w:szCs w:val="36"/>
        </w:rPr>
        <w:t>审批：</w:t>
      </w:r>
    </w:p>
    <w:p w14:paraId="35A565A1">
      <w:pPr>
        <w:ind w:firstLine="2530" w:firstLineChars="700"/>
        <w:rPr>
          <w:rFonts w:hint="eastAsia" w:ascii="宋体" w:hAnsi="宋体"/>
          <w:b/>
          <w:sz w:val="36"/>
          <w:szCs w:val="36"/>
        </w:rPr>
      </w:pPr>
    </w:p>
    <w:p w14:paraId="06F68002">
      <w:pPr>
        <w:ind w:firstLine="2891" w:firstLineChars="800"/>
        <w:rPr>
          <w:rFonts w:hint="eastAsia" w:ascii="宋体" w:hAnsi="宋体"/>
          <w:b/>
          <w:sz w:val="36"/>
          <w:szCs w:val="36"/>
        </w:rPr>
      </w:pPr>
      <w:r>
        <w:rPr>
          <w:rFonts w:hint="eastAsia" w:ascii="宋体" w:hAnsi="宋体"/>
          <w:b/>
          <w:sz w:val="36"/>
          <w:szCs w:val="36"/>
        </w:rPr>
        <w:t>复核：</w:t>
      </w:r>
    </w:p>
    <w:p w14:paraId="24496B93">
      <w:pPr>
        <w:ind w:firstLine="2530" w:firstLineChars="700"/>
        <w:rPr>
          <w:rFonts w:hint="eastAsia" w:ascii="宋体" w:hAnsi="宋体"/>
          <w:b/>
          <w:sz w:val="36"/>
          <w:szCs w:val="36"/>
        </w:rPr>
      </w:pPr>
    </w:p>
    <w:p w14:paraId="4D71AB2E">
      <w:pPr>
        <w:widowControl/>
        <w:jc w:val="left"/>
        <w:rPr>
          <w:rFonts w:ascii="宋体" w:hAnsi="宋体"/>
          <w:b/>
          <w:sz w:val="36"/>
          <w:szCs w:val="36"/>
        </w:rPr>
        <w:sectPr>
          <w:pgSz w:w="11906" w:h="16838"/>
          <w:pgMar w:top="1440" w:right="1080" w:bottom="1440" w:left="1080" w:header="851" w:footer="992" w:gutter="0"/>
          <w:cols w:space="720" w:num="1"/>
          <w:docGrid w:type="lines" w:linePitch="312" w:charSpace="0"/>
        </w:sectPr>
      </w:pPr>
    </w:p>
    <w:p w14:paraId="7213EA08">
      <w:pPr>
        <w:jc w:val="center"/>
        <w:rPr>
          <w:rFonts w:hint="eastAsia" w:ascii="宋体" w:hAnsi="宋体"/>
          <w:b/>
          <w:sz w:val="36"/>
          <w:szCs w:val="36"/>
        </w:rPr>
      </w:pPr>
      <w:r>
        <w:rPr>
          <w:rFonts w:hint="eastAsia" w:ascii="宋体" w:hAnsi="宋体"/>
          <w:b/>
          <w:sz w:val="36"/>
          <w:szCs w:val="36"/>
        </w:rPr>
        <w:t>中国腐蚀控制技术协会</w:t>
      </w:r>
    </w:p>
    <w:p w14:paraId="0DE0D596">
      <w:pPr>
        <w:jc w:val="center"/>
        <w:rPr>
          <w:rFonts w:hint="eastAsia" w:ascii="宋体" w:hAnsi="宋体"/>
          <w:b/>
          <w:sz w:val="28"/>
          <w:szCs w:val="28"/>
        </w:rPr>
      </w:pPr>
      <w:r>
        <w:rPr>
          <w:rFonts w:hint="eastAsia" w:ascii="宋体" w:hAnsi="宋体"/>
          <w:b/>
          <w:sz w:val="36"/>
          <w:szCs w:val="36"/>
        </w:rPr>
        <w:t>2026年度财务预算情况</w:t>
      </w:r>
    </w:p>
    <w:p w14:paraId="124965BE">
      <w:pPr>
        <w:spacing w:line="360" w:lineRule="auto"/>
        <w:jc w:val="center"/>
        <w:rPr>
          <w:rFonts w:hint="eastAsia" w:ascii="宋体" w:hAnsi="宋体"/>
          <w:b/>
          <w:sz w:val="28"/>
          <w:szCs w:val="28"/>
          <w:highlight w:val="yellow"/>
        </w:rPr>
      </w:pPr>
    </w:p>
    <w:p w14:paraId="160BBB55">
      <w:pPr>
        <w:spacing w:line="360" w:lineRule="auto"/>
        <w:jc w:val="left"/>
        <w:rPr>
          <w:rFonts w:hint="eastAsia" w:ascii="宋体" w:hAnsi="宋体"/>
          <w:sz w:val="28"/>
          <w:szCs w:val="28"/>
        </w:rPr>
      </w:pPr>
      <w:r>
        <w:rPr>
          <w:rFonts w:hint="eastAsia" w:ascii="宋体" w:hAnsi="宋体"/>
          <w:sz w:val="28"/>
          <w:szCs w:val="28"/>
        </w:rPr>
        <w:t xml:space="preserve">    中国腐蚀控制技术协会（以下简称“本协会”）于1985年7月25日获批成立，协会为民间非营利组织，至2025年12月31日协会注册资金10万元，统一社会信用代码：51100000500006759B，法定代表人李济克，住所为北京市朝阳区小营路9号C座509号。业务范围：行业自律，技术交流，书刊编辑，业务培训，专业展览，咨询服务。</w:t>
      </w:r>
    </w:p>
    <w:p w14:paraId="744F7F62">
      <w:pPr>
        <w:spacing w:line="360" w:lineRule="auto"/>
        <w:ind w:firstLine="560" w:firstLineChars="200"/>
        <w:jc w:val="left"/>
        <w:rPr>
          <w:rFonts w:hint="eastAsia" w:ascii="宋体" w:hAnsi="宋体"/>
          <w:sz w:val="28"/>
          <w:szCs w:val="28"/>
        </w:rPr>
      </w:pPr>
      <w:r>
        <w:rPr>
          <w:rFonts w:hint="eastAsia" w:ascii="宋体" w:hAnsi="宋体"/>
          <w:sz w:val="28"/>
          <w:szCs w:val="28"/>
        </w:rPr>
        <w:t>协会财务工作将在协会领导的引领下，严格遵守《社会团体登记管理条例》和《民间非营利组织会计制度》，根据上一年的财务状况和业务发展情况，对2026年度财务预算情况汇报如下：</w:t>
      </w:r>
    </w:p>
    <w:p w14:paraId="0BB9C62D">
      <w:pPr>
        <w:spacing w:line="360" w:lineRule="auto"/>
        <w:ind w:firstLine="562" w:firstLineChars="200"/>
        <w:jc w:val="left"/>
        <w:rPr>
          <w:rFonts w:hint="eastAsia" w:ascii="宋体" w:hAnsi="宋体"/>
          <w:b/>
          <w:sz w:val="28"/>
          <w:szCs w:val="28"/>
        </w:rPr>
      </w:pPr>
      <w:r>
        <w:rPr>
          <w:rFonts w:hint="eastAsia" w:ascii="宋体" w:hAnsi="宋体"/>
          <w:b/>
          <w:sz w:val="28"/>
          <w:szCs w:val="28"/>
        </w:rPr>
        <w:t>一、财务基本情况</w:t>
      </w:r>
    </w:p>
    <w:p w14:paraId="7856215F">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（一）资产情况</w:t>
      </w:r>
    </w:p>
    <w:p w14:paraId="2EEC6E2A">
      <w:pPr>
        <w:spacing w:line="360" w:lineRule="auto"/>
        <w:ind w:firstLine="560" w:firstLineChars="200"/>
        <w:rPr>
          <w:rFonts w:hint="eastAsia" w:ascii="宋体" w:hAnsi="宋体"/>
          <w:sz w:val="28"/>
          <w:szCs w:val="28"/>
        </w:rPr>
      </w:pPr>
      <w:r>
        <w:rPr>
          <w:rFonts w:hint="eastAsia"/>
          <w:sz w:val="28"/>
          <w:szCs w:val="28"/>
        </w:rPr>
        <w:t>预计</w:t>
      </w:r>
      <w:r>
        <w:rPr>
          <w:sz w:val="28"/>
          <w:szCs w:val="28"/>
        </w:rPr>
        <w:t>2026</w:t>
      </w:r>
      <w:r>
        <w:rPr>
          <w:rFonts w:hint="eastAsia"/>
          <w:sz w:val="28"/>
          <w:szCs w:val="28"/>
        </w:rPr>
        <w:t>年，本协会资产总额</w:t>
      </w:r>
      <w:r>
        <w:rPr>
          <w:sz w:val="28"/>
          <w:szCs w:val="28"/>
        </w:rPr>
        <w:t xml:space="preserve">55,000,000.00 </w:t>
      </w:r>
      <w:r>
        <w:rPr>
          <w:rFonts w:hint="eastAsia"/>
          <w:sz w:val="28"/>
          <w:szCs w:val="28"/>
        </w:rPr>
        <w:t>元，</w:t>
      </w:r>
      <w:r>
        <w:rPr>
          <w:rFonts w:hint="eastAsia" w:ascii="宋体" w:hAnsi="宋体"/>
          <w:sz w:val="28"/>
          <w:szCs w:val="28"/>
        </w:rPr>
        <w:t>预计增加10.59%。其中：</w:t>
      </w:r>
      <w:r>
        <w:rPr>
          <w:rFonts w:hint="eastAsia"/>
          <w:sz w:val="28"/>
          <w:szCs w:val="28"/>
        </w:rPr>
        <w:t>货币资金</w:t>
      </w:r>
      <w:r>
        <w:rPr>
          <w:sz w:val="28"/>
          <w:szCs w:val="28"/>
        </w:rPr>
        <w:t xml:space="preserve">1,000,000.00 </w:t>
      </w:r>
      <w:r>
        <w:rPr>
          <w:rFonts w:hint="eastAsia"/>
          <w:sz w:val="28"/>
          <w:szCs w:val="28"/>
        </w:rPr>
        <w:t>元，</w:t>
      </w:r>
      <w:r>
        <w:rPr>
          <w:rFonts w:hint="eastAsia" w:ascii="宋体" w:hAnsi="宋体"/>
          <w:sz w:val="28"/>
          <w:szCs w:val="28"/>
        </w:rPr>
        <w:t>预计增加1.87%；</w:t>
      </w:r>
      <w:r>
        <w:rPr>
          <w:rFonts w:hint="eastAsia"/>
          <w:sz w:val="28"/>
          <w:szCs w:val="28"/>
        </w:rPr>
        <w:t>应收款项</w:t>
      </w:r>
      <w:r>
        <w:rPr>
          <w:sz w:val="28"/>
          <w:szCs w:val="28"/>
        </w:rPr>
        <w:t xml:space="preserve">1,200,000.00 </w:t>
      </w:r>
      <w:r>
        <w:rPr>
          <w:rFonts w:hint="eastAsia"/>
          <w:sz w:val="28"/>
          <w:szCs w:val="28"/>
        </w:rPr>
        <w:t>元，</w:t>
      </w:r>
      <w:r>
        <w:rPr>
          <w:rFonts w:hint="eastAsia" w:ascii="宋体" w:hAnsi="宋体"/>
          <w:sz w:val="28"/>
          <w:szCs w:val="28"/>
        </w:rPr>
        <w:t>预计减少19.21%；短期投资52,050,000.00 ，较上年增加12.10%；长期股权投资500,000.00 元，较上年无变化；固定资产原值4,950,000.00 元，净值250,000.00  元，预计减少25.51%。</w:t>
      </w:r>
      <w:r>
        <w:rPr>
          <w:sz w:val="28"/>
          <w:szCs w:val="28"/>
        </w:rPr>
        <w:t xml:space="preserve"> </w:t>
      </w:r>
    </w:p>
    <w:p w14:paraId="07AE0491">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（二）负债情况</w:t>
      </w:r>
    </w:p>
    <w:p w14:paraId="1762C928">
      <w:pPr>
        <w:pStyle w:val="5"/>
        <w:spacing w:line="360" w:lineRule="auto"/>
        <w:ind w:firstLine="560"/>
        <w:rPr>
          <w:rFonts w:hint="eastAsia" w:cs="Times New Roman"/>
          <w:sz w:val="28"/>
          <w:szCs w:val="28"/>
        </w:rPr>
      </w:pPr>
      <w:r>
        <w:rPr>
          <w:rFonts w:hint="eastAsia"/>
          <w:sz w:val="28"/>
          <w:szCs w:val="28"/>
        </w:rPr>
        <w:t>预计</w:t>
      </w:r>
      <w:r>
        <w:rPr>
          <w:sz w:val="28"/>
          <w:szCs w:val="28"/>
        </w:rPr>
        <w:t>2026</w:t>
      </w:r>
      <w:r>
        <w:rPr>
          <w:rFonts w:hint="eastAsia"/>
          <w:sz w:val="28"/>
          <w:szCs w:val="28"/>
        </w:rPr>
        <w:t>年，协会负债总额1,740,000.00 元，预计减少17.14%。其中：应付款项140,000.00 元，预计增加24.43%；应交税金1,600,000.00 元，预计减少19.49%。</w:t>
      </w:r>
    </w:p>
    <w:p w14:paraId="7F03C271">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（三）净资产情况</w:t>
      </w:r>
    </w:p>
    <w:p w14:paraId="42A731E8">
      <w:pPr>
        <w:pStyle w:val="5"/>
        <w:spacing w:line="360" w:lineRule="auto"/>
        <w:ind w:firstLine="560"/>
        <w:rPr>
          <w:rFonts w:hint="eastAsia" w:cs="Times New Roman"/>
          <w:sz w:val="28"/>
          <w:szCs w:val="28"/>
        </w:rPr>
      </w:pPr>
      <w:r>
        <w:rPr>
          <w:rFonts w:hint="eastAsia"/>
          <w:sz w:val="28"/>
          <w:szCs w:val="28"/>
        </w:rPr>
        <w:t>预计</w:t>
      </w:r>
      <w:r>
        <w:rPr>
          <w:sz w:val="28"/>
          <w:szCs w:val="28"/>
        </w:rPr>
        <w:t>2026</w:t>
      </w:r>
      <w:r>
        <w:rPr>
          <w:rFonts w:hint="eastAsia"/>
          <w:sz w:val="28"/>
          <w:szCs w:val="28"/>
        </w:rPr>
        <w:t>年，协会净资产总额53,260,000.00 元，较上一年增加11.81%，其中：限定性净资产减少为0元，全部为非限定性资产。</w:t>
      </w:r>
    </w:p>
    <w:p w14:paraId="600B6CBD">
      <w:pPr>
        <w:pStyle w:val="5"/>
        <w:spacing w:line="360" w:lineRule="auto"/>
        <w:ind w:firstLine="562"/>
        <w:rPr>
          <w:rFonts w:hint="eastAsia"/>
          <w:b/>
          <w:sz w:val="28"/>
          <w:szCs w:val="28"/>
        </w:rPr>
      </w:pPr>
      <w:r>
        <w:rPr>
          <w:rFonts w:hint="eastAsia"/>
          <w:b/>
          <w:sz w:val="28"/>
          <w:szCs w:val="28"/>
        </w:rPr>
        <w:t xml:space="preserve">二、收入情况 </w:t>
      </w:r>
    </w:p>
    <w:p w14:paraId="2E9805DE">
      <w:pPr>
        <w:spacing w:line="360" w:lineRule="auto"/>
        <w:ind w:firstLine="560" w:firstLineChars="200"/>
        <w:rPr>
          <w:rFonts w:hint="eastAsia" w:ascii="宋体" w:hAnsi="宋体"/>
          <w:sz w:val="28"/>
          <w:szCs w:val="28"/>
        </w:rPr>
      </w:pPr>
      <w:r>
        <w:rPr>
          <w:rFonts w:hint="eastAsia"/>
          <w:sz w:val="28"/>
          <w:szCs w:val="28"/>
        </w:rPr>
        <w:t>预计</w:t>
      </w:r>
      <w:r>
        <w:rPr>
          <w:sz w:val="28"/>
          <w:szCs w:val="28"/>
        </w:rPr>
        <w:t>2026</w:t>
      </w:r>
      <w:r>
        <w:rPr>
          <w:rFonts w:hint="eastAsia"/>
          <w:sz w:val="28"/>
          <w:szCs w:val="28"/>
        </w:rPr>
        <w:t>年</w:t>
      </w:r>
      <w:r>
        <w:rPr>
          <w:rFonts w:hint="eastAsia" w:hAnsi="宋体"/>
          <w:sz w:val="28"/>
          <w:szCs w:val="28"/>
        </w:rPr>
        <w:t>，协会收入</w:t>
      </w:r>
      <w:r>
        <w:rPr>
          <w:rFonts w:hAnsi="宋体"/>
          <w:sz w:val="28"/>
          <w:szCs w:val="28"/>
        </w:rPr>
        <w:t xml:space="preserve">15,000,000.00 </w:t>
      </w:r>
      <w:r>
        <w:rPr>
          <w:rFonts w:hint="eastAsia" w:hAnsi="宋体"/>
          <w:sz w:val="28"/>
          <w:szCs w:val="28"/>
        </w:rPr>
        <w:t>元，预计减少</w:t>
      </w:r>
      <w:r>
        <w:rPr>
          <w:rFonts w:hAnsi="宋体"/>
          <w:sz w:val="28"/>
          <w:szCs w:val="28"/>
        </w:rPr>
        <w:t>10.41%</w:t>
      </w:r>
      <w:r>
        <w:rPr>
          <w:rFonts w:hint="eastAsia" w:hAnsi="宋体"/>
          <w:sz w:val="28"/>
          <w:szCs w:val="28"/>
        </w:rPr>
        <w:t>。</w:t>
      </w:r>
      <w:r>
        <w:rPr>
          <w:sz w:val="28"/>
          <w:szCs w:val="28"/>
        </w:rPr>
        <w:fldChar w:fldCharType="begin"/>
      </w:r>
      <w:r>
        <w:rPr>
          <w:sz w:val="28"/>
          <w:szCs w:val="28"/>
        </w:rPr>
        <w:instrText xml:space="preserve"> LINK Excel.Sheet.12 "F:\\</w:instrText>
      </w:r>
      <w:r>
        <w:rPr>
          <w:rFonts w:hint="eastAsia"/>
          <w:sz w:val="28"/>
          <w:szCs w:val="28"/>
        </w:rPr>
        <w:instrText xml:space="preserve">财务分析报告</w:instrText>
      </w:r>
      <w:r>
        <w:rPr>
          <w:sz w:val="28"/>
          <w:szCs w:val="28"/>
        </w:rPr>
        <w:instrText xml:space="preserve">2017\\2017</w:instrText>
      </w:r>
      <w:r>
        <w:rPr>
          <w:rFonts w:hint="eastAsia"/>
          <w:sz w:val="28"/>
          <w:szCs w:val="28"/>
        </w:rPr>
        <w:instrText xml:space="preserve">年钢结构协会部门利润分割表</w:instrText>
      </w:r>
      <w:r>
        <w:rPr>
          <w:sz w:val="28"/>
          <w:szCs w:val="28"/>
        </w:rPr>
        <w:instrText xml:space="preserve">.xlsx" "Sheet1!R120C1:R141C7" \a \f 4 \h  \* MERGEFORMAT </w:instrText>
      </w:r>
      <w:r>
        <w:rPr>
          <w:sz w:val="28"/>
          <w:szCs w:val="28"/>
        </w:rPr>
        <w:fldChar w:fldCharType="separate"/>
      </w:r>
    </w:p>
    <w:p w14:paraId="2940F2CE">
      <w:pPr>
        <w:spacing w:line="360" w:lineRule="auto"/>
        <w:ind w:firstLine="560" w:firstLineChars="200"/>
        <w:rPr>
          <w:rFonts w:hint="eastAsia" w:ascii="楷体" w:hAnsi="楷体" w:eastAsia="楷体" w:cs="楷体"/>
          <w:b/>
          <w:bCs/>
          <w:sz w:val="28"/>
          <w:szCs w:val="28"/>
        </w:rPr>
      </w:pPr>
      <w:r>
        <w:rPr>
          <w:sz w:val="28"/>
          <w:szCs w:val="28"/>
        </w:rPr>
        <w:fldChar w:fldCharType="end"/>
      </w:r>
      <w:r>
        <w:rPr>
          <w:rFonts w:hint="eastAsia" w:ascii="楷体" w:hAnsi="楷体" w:eastAsia="楷体" w:cs="楷体"/>
          <w:b/>
          <w:bCs/>
          <w:sz w:val="28"/>
          <w:szCs w:val="28"/>
        </w:rPr>
        <w:t>（一）会费收入</w:t>
      </w:r>
    </w:p>
    <w:p w14:paraId="31494400">
      <w:pPr>
        <w:pStyle w:val="5"/>
        <w:spacing w:line="360" w:lineRule="auto"/>
        <w:ind w:firstLine="560"/>
        <w:rPr>
          <w:rFonts w:hint="eastAsia" w:cs="Times New Roman"/>
          <w:sz w:val="28"/>
          <w:szCs w:val="28"/>
        </w:rPr>
      </w:pPr>
      <w:r>
        <w:rPr>
          <w:rFonts w:hint="eastAsia"/>
          <w:sz w:val="28"/>
          <w:szCs w:val="28"/>
        </w:rPr>
        <w:t>根据民政部关于社会团体会费收取的相关规定，协会于第八次会员大会审议通过会费标准,副会长单位会费50000元/年；常务理事单位会费10000元/年；理事单位会费5000元/年；普通会员单位会费3000元/年。预计2026年度协会会费收入为1,500,000.00 元，比上年增加2.11%。</w:t>
      </w:r>
    </w:p>
    <w:p w14:paraId="09C469C4">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（二）提供服务收入</w:t>
      </w:r>
    </w:p>
    <w:p w14:paraId="736AB6D8">
      <w:pPr>
        <w:spacing w:line="360" w:lineRule="auto"/>
        <w:rPr>
          <w:rFonts w:hint="eastAsia" w:ascii="楷体" w:hAnsi="楷体" w:eastAsia="楷体" w:cs="楷体"/>
          <w:sz w:val="28"/>
          <w:szCs w:val="28"/>
        </w:rPr>
      </w:pPr>
      <w:r>
        <w:rPr>
          <w:rFonts w:hint="eastAsia" w:ascii="宋体" w:hAnsi="宋体"/>
          <w:sz w:val="28"/>
          <w:szCs w:val="28"/>
        </w:rPr>
        <w:t xml:space="preserve">     预计2026年度，协会提供服务收入12,285,000.00 元,较上年15,218,555.16 元减少19.28%。</w:t>
      </w:r>
    </w:p>
    <w:p w14:paraId="5E60FFA3">
      <w:pPr>
        <w:numPr>
          <w:ilvl w:val="0"/>
          <w:numId w:val="2"/>
        </w:num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投资收益</w:t>
      </w:r>
    </w:p>
    <w:p w14:paraId="2C2D5AB9">
      <w:pPr>
        <w:spacing w:line="360" w:lineRule="auto"/>
        <w:ind w:firstLine="560" w:firstLineChars="200"/>
        <w:rPr>
          <w:rFonts w:hint="eastAsia" w:ascii="宋体" w:hAnsi="宋体"/>
          <w:sz w:val="28"/>
          <w:szCs w:val="28"/>
        </w:rPr>
      </w:pPr>
      <w:r>
        <w:rPr>
          <w:rFonts w:hint="eastAsia" w:ascii="宋体" w:hAnsi="宋体"/>
          <w:sz w:val="28"/>
          <w:szCs w:val="28"/>
        </w:rPr>
        <w:t>预计2026年度，协会短期投资收益1，200,000.00 元，</w:t>
      </w:r>
      <w:r>
        <w:rPr>
          <w:rFonts w:hint="eastAsia" w:ascii="宋体" w:hAnsi="宋体" w:cs="宋体"/>
          <w:sz w:val="28"/>
          <w:szCs w:val="28"/>
        </w:rPr>
        <w:t>为协会在不影响正常业务活动、投资及风险可控的前提下，使用闲置自有资金购买的理财产品取得的利息回款收入。</w:t>
      </w:r>
    </w:p>
    <w:p w14:paraId="6D0163FC">
      <w:pPr>
        <w:numPr>
          <w:ilvl w:val="0"/>
          <w:numId w:val="2"/>
        </w:num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其他收入</w:t>
      </w:r>
    </w:p>
    <w:p w14:paraId="3F816129">
      <w:pPr>
        <w:spacing w:line="360" w:lineRule="auto"/>
        <w:rPr>
          <w:rFonts w:hint="eastAsia" w:ascii="Calibri" w:hAnsi="宋体"/>
          <w:sz w:val="28"/>
          <w:szCs w:val="28"/>
        </w:rPr>
      </w:pPr>
      <w:r>
        <w:rPr>
          <w:rFonts w:hint="eastAsia" w:ascii="宋体" w:hAnsi="宋体"/>
          <w:sz w:val="28"/>
          <w:szCs w:val="28"/>
        </w:rPr>
        <w:t xml:space="preserve">     预计2026年度，协会其他收入15,000.00 元，较上年增加1.12%。</w:t>
      </w:r>
    </w:p>
    <w:p w14:paraId="7EFED9B4">
      <w:pPr>
        <w:pStyle w:val="5"/>
        <w:spacing w:line="360" w:lineRule="auto"/>
        <w:ind w:firstLine="562"/>
        <w:rPr>
          <w:b/>
          <w:sz w:val="28"/>
          <w:szCs w:val="28"/>
        </w:rPr>
      </w:pPr>
      <w:r>
        <w:rPr>
          <w:rFonts w:hint="eastAsia"/>
          <w:b/>
          <w:sz w:val="28"/>
          <w:szCs w:val="28"/>
        </w:rPr>
        <w:t>三、费用及净资产增加情况</w:t>
      </w:r>
    </w:p>
    <w:p w14:paraId="29DDDFC9">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（一）费用支出情况</w:t>
      </w:r>
    </w:p>
    <w:p w14:paraId="5C6A5009">
      <w:pPr>
        <w:spacing w:line="360" w:lineRule="auto"/>
        <w:ind w:firstLine="560" w:firstLineChars="200"/>
        <w:rPr>
          <w:rFonts w:hint="eastAsia" w:ascii="宋体" w:hAnsi="Calibri"/>
          <w:sz w:val="28"/>
          <w:szCs w:val="28"/>
        </w:rPr>
      </w:pPr>
      <w:r>
        <w:rPr>
          <w:rFonts w:hint="eastAsia" w:ascii="宋体"/>
          <w:sz w:val="28"/>
          <w:szCs w:val="28"/>
        </w:rPr>
        <w:t>预计2026年度，协会费用支出为10,300,000.00 元，占全年收入的比重60.59%。其中：2026年业务活动成本7,000,000.00 元，占全年收入的比重41.18%，预计包含税金及附加100,000.00 元；管理费用1,700,000.00 元，占全年收入的比重10.00%；其他费用1,600,000.00 元，为按规定缴纳的企业所得税费用。</w:t>
      </w:r>
    </w:p>
    <w:p w14:paraId="5C598EB9">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（二）净资产增加情况</w:t>
      </w:r>
    </w:p>
    <w:p w14:paraId="5C8092AB">
      <w:pPr>
        <w:pStyle w:val="5"/>
        <w:spacing w:line="360" w:lineRule="auto"/>
        <w:ind w:firstLine="560"/>
        <w:rPr>
          <w:rFonts w:hint="eastAsia" w:hAnsi="Calibri" w:cs="Times New Roman"/>
          <w:sz w:val="28"/>
          <w:szCs w:val="28"/>
        </w:rPr>
      </w:pPr>
      <w:r>
        <w:rPr>
          <w:rFonts w:hint="eastAsia"/>
          <w:sz w:val="28"/>
          <w:szCs w:val="28"/>
        </w:rPr>
        <w:t>预计2026年度，协会净资产增加总额为4,700,000.00 元,占全年收入的比重27.65%。</w:t>
      </w:r>
    </w:p>
    <w:p w14:paraId="4D6DA899">
      <w:pPr>
        <w:spacing w:line="360" w:lineRule="auto"/>
        <w:rPr>
          <w:rFonts w:hint="eastAsia" w:ascii="宋体"/>
          <w:sz w:val="28"/>
          <w:szCs w:val="28"/>
        </w:rPr>
      </w:pPr>
    </w:p>
    <w:p w14:paraId="46CCBB7B">
      <w:pPr>
        <w:pStyle w:val="5"/>
        <w:spacing w:line="360" w:lineRule="auto"/>
        <w:ind w:firstLine="560"/>
        <w:rPr>
          <w:rFonts w:hint="eastAsia"/>
          <w:sz w:val="28"/>
          <w:szCs w:val="28"/>
        </w:rPr>
      </w:pPr>
    </w:p>
    <w:p w14:paraId="43ED1F4D">
      <w:pPr>
        <w:pStyle w:val="5"/>
        <w:spacing w:line="360" w:lineRule="auto"/>
        <w:ind w:firstLine="560"/>
        <w:jc w:val="right"/>
        <w:rPr>
          <w:rFonts w:hint="eastAsia"/>
          <w:sz w:val="28"/>
          <w:szCs w:val="28"/>
        </w:rPr>
      </w:pPr>
      <w:r>
        <w:rPr>
          <w:rFonts w:hint="eastAsia"/>
          <w:sz w:val="28"/>
          <w:szCs w:val="28"/>
        </w:rPr>
        <w:t>2026年1月20日</w:t>
      </w:r>
    </w:p>
    <w:p w14:paraId="73604684">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927E1"/>
    <w:multiLevelType w:val="singleLevel"/>
    <w:tmpl w:val="BE6927E1"/>
    <w:lvl w:ilvl="0" w:tentative="0">
      <w:start w:val="3"/>
      <w:numFmt w:val="chineseCounting"/>
      <w:suff w:val="nothing"/>
      <w:lvlText w:val="（%1）"/>
      <w:lvlJc w:val="left"/>
      <w:pPr>
        <w:ind w:left="560" w:firstLine="0"/>
      </w:pPr>
    </w:lvl>
  </w:abstractNum>
  <w:abstractNum w:abstractNumId="1">
    <w:nsid w:val="F285F6EF"/>
    <w:multiLevelType w:val="singleLevel"/>
    <w:tmpl w:val="F285F6EF"/>
    <w:lvl w:ilvl="0" w:tentative="0">
      <w:start w:val="3"/>
      <w:numFmt w:val="chineseCounting"/>
      <w:suff w:val="nothing"/>
      <w:lvlText w:val="（%1）"/>
      <w:lvlJc w:val="left"/>
      <w:pPr>
        <w:ind w:left="0" w:firstLine="0"/>
      </w:pPr>
    </w:lvl>
  </w:abstractNum>
  <w:num w:numId="1">
    <w:abstractNumId w:val="0"/>
    <w:lvlOverride w:ilvl="0">
      <w:startOverride w:val="3"/>
    </w:lvlOverride>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03589"/>
    <w:rsid w:val="5980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2026-04-22T08:20:00Z</dcterms:created>
  <dc:creator>菠萝包</dc:creator>
  <cp:lastModifiedBy>菠萝包</cp:lastModifiedBy>
  <dcterms:modified xsi:type="dcterms:W3CDTF">2026-04-22T08:21:26Z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80CA121F834B4472A7B098A3B3337D27_11</vt:lpwstr>
  </property>
  <property fmtid="{D5CDD505-2E9C-101B-9397-08002B2CF9AE}" pid="4" name="KSOTemplateDocerSaveRecord">
    <vt:lpwstr>eyJoZGlkIjoiMTRhYmQxODk1Mjc1MTU3OGYyM2E5ZWQ4YjA5ZTZjOWIiLCJ1c2VySWQiOiI3Nzg2MjEzMzEifQ==</vt:lpwstr>
  </property>
</Properties>
</file>